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FDAE1E" w14:textId="1A244334" w:rsidR="00DC42CA" w:rsidRDefault="00443318">
      <w:pPr>
        <w:spacing w:after="160"/>
        <w:jc w:val="center"/>
        <w:rPr>
          <w:b/>
          <w:sz w:val="22"/>
          <w:szCs w:val="22"/>
        </w:rPr>
      </w:pPr>
      <w:bookmarkStart w:id="0" w:name="_GoBack"/>
      <w:bookmarkEnd w:id="0"/>
      <w:r>
        <w:rPr>
          <w:b/>
          <w:sz w:val="22"/>
          <w:szCs w:val="22"/>
        </w:rPr>
        <w:t>PROYECTO DE ACUERDO Nº 457 DE 2025</w:t>
      </w:r>
    </w:p>
    <w:p w14:paraId="5E0D8BAA" w14:textId="77777777" w:rsidR="00DC42CA" w:rsidRDefault="00443318">
      <w:pPr>
        <w:spacing w:after="160"/>
        <w:jc w:val="both"/>
        <w:rPr>
          <w:b/>
          <w:sz w:val="22"/>
          <w:szCs w:val="22"/>
        </w:rPr>
      </w:pPr>
      <w:r>
        <w:rPr>
          <w:b/>
          <w:sz w:val="22"/>
          <w:szCs w:val="22"/>
        </w:rPr>
        <w:t>“Por medio del cual se establecen para garantizar MEDIDAS DE PROTECCIÓN INMEDIATA destinadas a salvaguardar los derechos fundamentales de los niños, niñas y adolescentes que sean víctimas o presuntas víctimas de abuso sexual o de explotación sexual comercial de niños, niñas y adolescentes (ESCNNA).”</w:t>
      </w:r>
    </w:p>
    <w:p w14:paraId="48B3DFA2" w14:textId="77777777" w:rsidR="00DC42CA" w:rsidRDefault="00443318">
      <w:pPr>
        <w:spacing w:after="160"/>
        <w:jc w:val="center"/>
        <w:rPr>
          <w:b/>
          <w:sz w:val="22"/>
          <w:szCs w:val="22"/>
        </w:rPr>
      </w:pPr>
      <w:r>
        <w:rPr>
          <w:sz w:val="22"/>
          <w:szCs w:val="22"/>
        </w:rPr>
        <w:t xml:space="preserve"> </w:t>
      </w:r>
      <w:r>
        <w:rPr>
          <w:b/>
          <w:sz w:val="22"/>
          <w:szCs w:val="22"/>
        </w:rPr>
        <w:t>EXPOSICIÓN DE MOTIVOS</w:t>
      </w:r>
    </w:p>
    <w:p w14:paraId="379732C1" w14:textId="77777777" w:rsidR="00DC42CA" w:rsidRDefault="00443318">
      <w:pPr>
        <w:numPr>
          <w:ilvl w:val="0"/>
          <w:numId w:val="1"/>
        </w:numPr>
        <w:spacing w:after="160"/>
        <w:rPr>
          <w:b/>
          <w:sz w:val="22"/>
          <w:szCs w:val="22"/>
        </w:rPr>
      </w:pPr>
      <w:r>
        <w:rPr>
          <w:b/>
          <w:sz w:val="22"/>
          <w:szCs w:val="22"/>
        </w:rPr>
        <w:t>OBJETO</w:t>
      </w:r>
    </w:p>
    <w:p w14:paraId="3E82D4FB" w14:textId="77777777" w:rsidR="00DC42CA" w:rsidRDefault="00443318">
      <w:pPr>
        <w:spacing w:after="160"/>
        <w:jc w:val="both"/>
        <w:rPr>
          <w:sz w:val="22"/>
          <w:szCs w:val="22"/>
          <w:highlight w:val="yellow"/>
        </w:rPr>
      </w:pPr>
      <w:r>
        <w:rPr>
          <w:sz w:val="22"/>
          <w:szCs w:val="22"/>
        </w:rPr>
        <w:t xml:space="preserve">Establecer los lineamientos para garantizar </w:t>
      </w:r>
      <w:r>
        <w:rPr>
          <w:b/>
          <w:sz w:val="22"/>
          <w:szCs w:val="22"/>
        </w:rPr>
        <w:t>MEDIDAS DE PROTECCIÓN INMEDIATA</w:t>
      </w:r>
      <w:r>
        <w:rPr>
          <w:sz w:val="22"/>
          <w:szCs w:val="22"/>
        </w:rPr>
        <w:t xml:space="preserve"> destinadas a salvaguardar los derechos fundamentales de los niños, niñas y adolescentes que sean víctimas o presuntas víctimas de abuso sexual o de explotación sexual comercial de niños, niñas y adolescentes (ESCNNA). Estas medidas buscan garantizar su integridad física y emocional, así como su permanencia en sus entornos familiares, escolares o comunitarios, evitando su revictimización y asegurando su bienestar integral.</w:t>
      </w:r>
    </w:p>
    <w:p w14:paraId="3C3163DF" w14:textId="77777777" w:rsidR="00DC42CA" w:rsidRDefault="00443318">
      <w:pPr>
        <w:numPr>
          <w:ilvl w:val="0"/>
          <w:numId w:val="1"/>
        </w:numPr>
        <w:spacing w:after="160"/>
        <w:rPr>
          <w:b/>
          <w:sz w:val="22"/>
          <w:szCs w:val="22"/>
        </w:rPr>
      </w:pPr>
      <w:r>
        <w:rPr>
          <w:b/>
          <w:sz w:val="22"/>
          <w:szCs w:val="22"/>
        </w:rPr>
        <w:t>JUSTIFICACIÓN</w:t>
      </w:r>
    </w:p>
    <w:p w14:paraId="4DD12ED0" w14:textId="77777777" w:rsidR="00DC42CA" w:rsidRDefault="00443318">
      <w:pPr>
        <w:spacing w:after="160"/>
        <w:jc w:val="both"/>
        <w:rPr>
          <w:sz w:val="22"/>
          <w:szCs w:val="22"/>
        </w:rPr>
      </w:pPr>
      <w:r>
        <w:rPr>
          <w:sz w:val="22"/>
          <w:szCs w:val="22"/>
        </w:rPr>
        <w:t>La violencia sexual contra niños, niñas y adolescentes (NNA) en Colombia continúa siendo uno de los flagelos más graves que enfrenta nuestra sociedad. Cada caso representa una vulneración profunda e irreversible de los derechos fundamentales de los menores, dejando secuelas físicas, emocionales y psicológicas que perduran a lo largo de sus vidas. Por ello, es imperativo que todas las acciones orientadas a restituir sus derechos y brindarles protección sean implementadas de manera urgente y efectiva, con el fin de mitigar el impacto de estos hechos y prevenir futuras situaciones de violencia.​</w:t>
      </w:r>
    </w:p>
    <w:p w14:paraId="6CFDC25E" w14:textId="77777777" w:rsidR="00DC42CA" w:rsidRDefault="00443318">
      <w:pPr>
        <w:spacing w:after="160"/>
        <w:jc w:val="both"/>
        <w:rPr>
          <w:sz w:val="22"/>
          <w:szCs w:val="22"/>
        </w:rPr>
      </w:pPr>
      <w:r>
        <w:rPr>
          <w:sz w:val="22"/>
          <w:szCs w:val="22"/>
        </w:rPr>
        <w:t>La información recopilada por entidades como la Secretaría de Educación del Distrito Capital, la Policía Nacional de Colombia y el Instituto Nacional de Medicina Legal y Ciencias Forenses revela que la violencia sexual contra niños, niñas y adolescentes (NNA) y la Explotación Sexual Comercial (ESCNNA) en Colombia no solo persiste, sino que se incrementa de forma preocupante, particularmente en entornos escolares.</w:t>
      </w:r>
    </w:p>
    <w:p w14:paraId="5E168410" w14:textId="77777777" w:rsidR="00DC42CA" w:rsidRDefault="00443318">
      <w:pPr>
        <w:spacing w:after="160"/>
        <w:jc w:val="both"/>
        <w:rPr>
          <w:sz w:val="22"/>
          <w:szCs w:val="22"/>
        </w:rPr>
      </w:pPr>
      <w:r>
        <w:rPr>
          <w:sz w:val="22"/>
          <w:szCs w:val="22"/>
        </w:rPr>
        <w:t>Solo entre enero y diciembre de 2024, la Secretaría de Educación del Distrito Capital</w:t>
      </w:r>
      <w:r>
        <w:rPr>
          <w:sz w:val="22"/>
          <w:szCs w:val="22"/>
          <w:vertAlign w:val="superscript"/>
        </w:rPr>
        <w:footnoteReference w:id="1"/>
      </w:r>
      <w:r>
        <w:rPr>
          <w:sz w:val="22"/>
          <w:szCs w:val="22"/>
        </w:rPr>
        <w:t xml:space="preserve"> registró 9.129 reportes de presunta violencia sexual contra NNA, lo que representa 25 casos diarios. Esta cifra resulta aún más alarmante si se considera que, solo en el primer trimestre de 2025, ya se han reportado 2.404 nuevos casos, es decir, un promedio de 27 casos diarios.</w:t>
      </w:r>
    </w:p>
    <w:p w14:paraId="20D533A7" w14:textId="77777777" w:rsidR="00DC42CA" w:rsidRDefault="00443318">
      <w:pPr>
        <w:spacing w:after="160"/>
        <w:jc w:val="both"/>
        <w:rPr>
          <w:sz w:val="22"/>
          <w:szCs w:val="22"/>
        </w:rPr>
      </w:pPr>
      <w:r>
        <w:rPr>
          <w:sz w:val="22"/>
          <w:szCs w:val="22"/>
        </w:rPr>
        <w:t>Por su parte, la Policía Nacional de Colombia reportó 4.554 delitos sexuales en NNA durante el año 2024</w:t>
      </w:r>
      <w:r>
        <w:rPr>
          <w:sz w:val="22"/>
          <w:szCs w:val="22"/>
          <w:vertAlign w:val="superscript"/>
        </w:rPr>
        <w:footnoteReference w:id="2"/>
      </w:r>
      <w:r>
        <w:rPr>
          <w:sz w:val="22"/>
          <w:szCs w:val="22"/>
        </w:rPr>
        <w:t xml:space="preserve">, mientras que el Instituto Nacional de Medicina Legal y Ciencias </w:t>
      </w:r>
      <w:r>
        <w:rPr>
          <w:sz w:val="22"/>
          <w:szCs w:val="22"/>
        </w:rPr>
        <w:lastRenderedPageBreak/>
        <w:t>Forenses realizó 2.962 exámenes médicos legales por presuntos delitos sexuales a menores</w:t>
      </w:r>
      <w:r>
        <w:rPr>
          <w:sz w:val="22"/>
          <w:szCs w:val="22"/>
          <w:vertAlign w:val="superscript"/>
        </w:rPr>
        <w:footnoteReference w:id="3"/>
      </w:r>
      <w:r>
        <w:rPr>
          <w:sz w:val="22"/>
          <w:szCs w:val="22"/>
        </w:rPr>
        <w:t xml:space="preserve">. </w:t>
      </w:r>
    </w:p>
    <w:p w14:paraId="2E2B5F57" w14:textId="77777777" w:rsidR="00DC42CA" w:rsidRDefault="00443318">
      <w:pPr>
        <w:spacing w:after="160"/>
        <w:jc w:val="both"/>
        <w:rPr>
          <w:sz w:val="22"/>
          <w:szCs w:val="22"/>
        </w:rPr>
      </w:pPr>
      <w:r>
        <w:rPr>
          <w:sz w:val="22"/>
          <w:szCs w:val="22"/>
        </w:rPr>
        <w:t>Los datos son aún más alarmantes en el ámbito escolar:</w:t>
      </w:r>
    </w:p>
    <w:p w14:paraId="50F565FF" w14:textId="77777777" w:rsidR="00DC42CA" w:rsidRDefault="00443318">
      <w:pPr>
        <w:numPr>
          <w:ilvl w:val="0"/>
          <w:numId w:val="5"/>
        </w:numPr>
        <w:spacing w:after="160"/>
        <w:jc w:val="both"/>
        <w:rPr>
          <w:sz w:val="22"/>
          <w:szCs w:val="22"/>
        </w:rPr>
      </w:pPr>
      <w:r>
        <w:rPr>
          <w:sz w:val="22"/>
          <w:szCs w:val="22"/>
        </w:rPr>
        <w:t>Se evidencia un incremento del 47% en los casos de violencia sexual escolar entre 2023 y 2024, según la Secretaría de Educación del Distrito Capital.</w:t>
      </w:r>
    </w:p>
    <w:p w14:paraId="7156B5DC" w14:textId="77777777" w:rsidR="00DC42CA" w:rsidRDefault="00443318">
      <w:pPr>
        <w:numPr>
          <w:ilvl w:val="0"/>
          <w:numId w:val="5"/>
        </w:numPr>
        <w:spacing w:after="160"/>
        <w:jc w:val="both"/>
        <w:rPr>
          <w:sz w:val="22"/>
          <w:szCs w:val="22"/>
        </w:rPr>
      </w:pPr>
      <w:r>
        <w:rPr>
          <w:sz w:val="22"/>
          <w:szCs w:val="22"/>
        </w:rPr>
        <w:t>Además, en el 73% de los casos reportados a través del sistema de alertas, el agresor es un compañero del mismo entorno escolar.</w:t>
      </w:r>
    </w:p>
    <w:p w14:paraId="268BAB0A" w14:textId="77777777" w:rsidR="00DC42CA" w:rsidRDefault="00443318">
      <w:pPr>
        <w:spacing w:after="160"/>
        <w:jc w:val="both"/>
        <w:rPr>
          <w:sz w:val="22"/>
          <w:szCs w:val="22"/>
        </w:rPr>
      </w:pPr>
      <w:r>
        <w:rPr>
          <w:sz w:val="22"/>
          <w:szCs w:val="22"/>
        </w:rPr>
        <w:t xml:space="preserve">Con relación a la violencia sexual que se presenta en las diferentes localidades las cifras de la Secretaría de Educación Distrital evidencian que la violencia sexual contra niños, niñas y adolescentes no es un fenómeno aislado, sino que se presenta con mayor intensidad en localidades específicas del Distrito Capital. Según el reporte, las localidades con </w:t>
      </w:r>
      <w:r>
        <w:rPr>
          <w:b/>
          <w:sz w:val="22"/>
          <w:szCs w:val="22"/>
        </w:rPr>
        <w:t>mayor número de casos en 2024</w:t>
      </w:r>
      <w:r>
        <w:rPr>
          <w:sz w:val="22"/>
          <w:szCs w:val="22"/>
        </w:rPr>
        <w:t xml:space="preserve"> son:</w:t>
      </w:r>
    </w:p>
    <w:p w14:paraId="572D6AAF" w14:textId="77777777" w:rsidR="00DC42CA" w:rsidRDefault="00443318">
      <w:pPr>
        <w:numPr>
          <w:ilvl w:val="0"/>
          <w:numId w:val="6"/>
        </w:numPr>
        <w:spacing w:after="160"/>
        <w:jc w:val="both"/>
        <w:rPr>
          <w:sz w:val="22"/>
          <w:szCs w:val="22"/>
        </w:rPr>
      </w:pPr>
      <w:r>
        <w:rPr>
          <w:b/>
          <w:sz w:val="22"/>
          <w:szCs w:val="22"/>
        </w:rPr>
        <w:t>Bosa</w:t>
      </w:r>
      <w:r>
        <w:rPr>
          <w:sz w:val="22"/>
          <w:szCs w:val="22"/>
        </w:rPr>
        <w:t xml:space="preserve"> (1.164 casos)</w:t>
      </w:r>
    </w:p>
    <w:p w14:paraId="0462A36E" w14:textId="77777777" w:rsidR="00DC42CA" w:rsidRDefault="00443318">
      <w:pPr>
        <w:numPr>
          <w:ilvl w:val="0"/>
          <w:numId w:val="6"/>
        </w:numPr>
        <w:spacing w:after="160"/>
        <w:jc w:val="both"/>
        <w:rPr>
          <w:sz w:val="22"/>
          <w:szCs w:val="22"/>
        </w:rPr>
      </w:pPr>
      <w:r>
        <w:rPr>
          <w:b/>
          <w:sz w:val="22"/>
          <w:szCs w:val="22"/>
        </w:rPr>
        <w:t>Kennedy</w:t>
      </w:r>
      <w:r>
        <w:rPr>
          <w:sz w:val="22"/>
          <w:szCs w:val="22"/>
        </w:rPr>
        <w:t xml:space="preserve"> (1.132 casos)</w:t>
      </w:r>
    </w:p>
    <w:p w14:paraId="57245CFF" w14:textId="77777777" w:rsidR="00DC42CA" w:rsidRDefault="00443318">
      <w:pPr>
        <w:numPr>
          <w:ilvl w:val="0"/>
          <w:numId w:val="6"/>
        </w:numPr>
        <w:spacing w:after="160"/>
        <w:jc w:val="both"/>
        <w:rPr>
          <w:sz w:val="22"/>
          <w:szCs w:val="22"/>
        </w:rPr>
      </w:pPr>
      <w:r>
        <w:rPr>
          <w:b/>
          <w:sz w:val="22"/>
          <w:szCs w:val="22"/>
        </w:rPr>
        <w:t>Ciudad Bolívar</w:t>
      </w:r>
      <w:r>
        <w:rPr>
          <w:sz w:val="22"/>
          <w:szCs w:val="22"/>
        </w:rPr>
        <w:t xml:space="preserve"> (1.047 casos)</w:t>
      </w:r>
    </w:p>
    <w:p w14:paraId="291078A8" w14:textId="77777777" w:rsidR="00DC42CA" w:rsidRDefault="00443318">
      <w:pPr>
        <w:numPr>
          <w:ilvl w:val="0"/>
          <w:numId w:val="6"/>
        </w:numPr>
        <w:spacing w:after="160"/>
        <w:jc w:val="both"/>
        <w:rPr>
          <w:sz w:val="22"/>
          <w:szCs w:val="22"/>
        </w:rPr>
      </w:pPr>
      <w:r>
        <w:rPr>
          <w:b/>
          <w:sz w:val="22"/>
          <w:szCs w:val="22"/>
        </w:rPr>
        <w:t>Suba</w:t>
      </w:r>
      <w:r>
        <w:rPr>
          <w:sz w:val="22"/>
          <w:szCs w:val="22"/>
        </w:rPr>
        <w:t xml:space="preserve"> (946 casos)</w:t>
      </w:r>
    </w:p>
    <w:p w14:paraId="77F18C96" w14:textId="77777777" w:rsidR="00DC42CA" w:rsidRDefault="00443318">
      <w:pPr>
        <w:spacing w:after="160"/>
        <w:jc w:val="both"/>
        <w:rPr>
          <w:sz w:val="22"/>
          <w:szCs w:val="22"/>
        </w:rPr>
      </w:pPr>
      <w:r>
        <w:rPr>
          <w:sz w:val="22"/>
          <w:szCs w:val="22"/>
        </w:rPr>
        <w:t>Estas cuatro localidades concentran por sí solas casi el 50% de los casos registrados en toda la ciudad, lo cual refleja una urgente necesidad de priorizar acciones de prevención, atención y protección inmediata en estas zonas de alta incidencia.</w:t>
      </w:r>
    </w:p>
    <w:p w14:paraId="08AB423E" w14:textId="77777777" w:rsidR="00DC42CA" w:rsidRDefault="00443318">
      <w:pPr>
        <w:spacing w:after="160"/>
        <w:jc w:val="both"/>
        <w:rPr>
          <w:sz w:val="22"/>
          <w:szCs w:val="22"/>
        </w:rPr>
      </w:pPr>
      <w:r>
        <w:rPr>
          <w:sz w:val="22"/>
          <w:szCs w:val="22"/>
        </w:rPr>
        <w:t>Todas las cifras anteriores reflejan con claridad la urgente necesidad de tomar acciones concretas para garantizar que nuestros niños, niñas y adolescentes reciban medidas de protección y atención inmediata ante cualquier forma de violencia sexual que los pueda afectar. Es responsabilidad del Estado, la familia y la sociedad brindar una respuesta oportuna, eficaz y centrada en su bienestar, asegurando entornos donde puedan desarrollarse con dignidad, seguridad y sin temor.</w:t>
      </w:r>
    </w:p>
    <w:p w14:paraId="2D18FFA5" w14:textId="77777777" w:rsidR="00DC42CA" w:rsidRDefault="00443318">
      <w:pPr>
        <w:spacing w:after="160"/>
        <w:jc w:val="both"/>
        <w:rPr>
          <w:sz w:val="22"/>
          <w:szCs w:val="22"/>
        </w:rPr>
      </w:pPr>
      <w:r>
        <w:rPr>
          <w:sz w:val="22"/>
          <w:szCs w:val="22"/>
        </w:rPr>
        <w:t xml:space="preserve">UNICEF establece que la recuperación de un niño o una niña tras sufrir abusos sexuales requiere tanto una </w:t>
      </w:r>
      <w:r>
        <w:rPr>
          <w:b/>
          <w:sz w:val="22"/>
          <w:szCs w:val="22"/>
        </w:rPr>
        <w:t>respuesta inmediata</w:t>
      </w:r>
      <w:r>
        <w:rPr>
          <w:sz w:val="22"/>
          <w:szCs w:val="22"/>
        </w:rPr>
        <w:t xml:space="preserve"> a las necesidades más urgentes como medidas de respuesta y apoyo más a largo plazo. Algunas de estas necesidades incluyen</w:t>
      </w:r>
      <w:r>
        <w:rPr>
          <w:sz w:val="22"/>
          <w:szCs w:val="22"/>
          <w:vertAlign w:val="superscript"/>
        </w:rPr>
        <w:footnoteReference w:id="4"/>
      </w:r>
      <w:r>
        <w:rPr>
          <w:sz w:val="22"/>
          <w:szCs w:val="22"/>
        </w:rPr>
        <w:t>:</w:t>
      </w:r>
    </w:p>
    <w:p w14:paraId="33141C7B" w14:textId="77777777" w:rsidR="00DC42CA" w:rsidRDefault="00443318">
      <w:pPr>
        <w:numPr>
          <w:ilvl w:val="0"/>
          <w:numId w:val="7"/>
        </w:numPr>
        <w:pBdr>
          <w:top w:val="nil"/>
          <w:left w:val="nil"/>
          <w:bottom w:val="nil"/>
          <w:right w:val="nil"/>
          <w:between w:val="nil"/>
        </w:pBdr>
        <w:spacing w:before="280"/>
        <w:jc w:val="both"/>
        <w:rPr>
          <w:sz w:val="22"/>
          <w:szCs w:val="22"/>
        </w:rPr>
      </w:pPr>
      <w:r>
        <w:rPr>
          <w:b/>
          <w:sz w:val="22"/>
          <w:szCs w:val="22"/>
        </w:rPr>
        <w:lastRenderedPageBreak/>
        <w:t xml:space="preserve">Necesidades de seguridad física y emocional: </w:t>
      </w:r>
      <w:r>
        <w:rPr>
          <w:sz w:val="22"/>
          <w:szCs w:val="22"/>
        </w:rPr>
        <w:t>Los niños, niñas y adolescentes requieren apoyo inmediato mediante servicios de gestión de casos y respuesta en crisis, que les brinden atención médica oportuna. Estas acciones iniciales son fundamentales para su recuperación integral y sanación a largo plazo.</w:t>
      </w:r>
    </w:p>
    <w:p w14:paraId="259575B9" w14:textId="77777777" w:rsidR="00DC42CA" w:rsidRDefault="00443318">
      <w:pPr>
        <w:numPr>
          <w:ilvl w:val="0"/>
          <w:numId w:val="7"/>
        </w:numPr>
        <w:pBdr>
          <w:top w:val="nil"/>
          <w:left w:val="nil"/>
          <w:bottom w:val="nil"/>
          <w:right w:val="nil"/>
          <w:between w:val="nil"/>
        </w:pBdr>
        <w:jc w:val="both"/>
        <w:rPr>
          <w:sz w:val="22"/>
          <w:szCs w:val="22"/>
        </w:rPr>
      </w:pPr>
      <w:r>
        <w:rPr>
          <w:b/>
          <w:sz w:val="22"/>
          <w:szCs w:val="22"/>
        </w:rPr>
        <w:t xml:space="preserve">Necesidades psicológicas: </w:t>
      </w:r>
      <w:r>
        <w:rPr>
          <w:sz w:val="22"/>
          <w:szCs w:val="22"/>
        </w:rPr>
        <w:t>Deben recibir acompañamiento emocional que les ayude a recuperar la confianza en los adultos, procesar lo vivido y manejar emociones difíciles. Un enfoque basado en fortalezas les permite identificar personas de apoyo y entender los efectos del abuso.</w:t>
      </w:r>
    </w:p>
    <w:p w14:paraId="71D20848" w14:textId="77777777" w:rsidR="00DC42CA" w:rsidRDefault="00443318">
      <w:pPr>
        <w:numPr>
          <w:ilvl w:val="0"/>
          <w:numId w:val="7"/>
        </w:numPr>
        <w:pBdr>
          <w:top w:val="nil"/>
          <w:left w:val="nil"/>
          <w:bottom w:val="nil"/>
          <w:right w:val="nil"/>
          <w:between w:val="nil"/>
        </w:pBdr>
        <w:jc w:val="both"/>
        <w:rPr>
          <w:sz w:val="22"/>
          <w:szCs w:val="22"/>
        </w:rPr>
      </w:pPr>
      <w:r>
        <w:rPr>
          <w:b/>
          <w:sz w:val="22"/>
          <w:szCs w:val="22"/>
        </w:rPr>
        <w:t xml:space="preserve">Necesidades sociales: </w:t>
      </w:r>
      <w:r>
        <w:rPr>
          <w:sz w:val="22"/>
          <w:szCs w:val="22"/>
        </w:rPr>
        <w:t>El abuso sexual genera aislamiento. Es fundamental apoyar el restablecimiento de la vida cotidiana, como el retorno a la escuela o la participación en actividades comunitarias, así como fortalecer vínculos con personas significativas para su bienestar.</w:t>
      </w:r>
    </w:p>
    <w:p w14:paraId="21949656" w14:textId="77777777" w:rsidR="00DC42CA" w:rsidRDefault="00443318">
      <w:pPr>
        <w:numPr>
          <w:ilvl w:val="0"/>
          <w:numId w:val="7"/>
        </w:numPr>
        <w:pBdr>
          <w:top w:val="nil"/>
          <w:left w:val="nil"/>
          <w:bottom w:val="nil"/>
          <w:right w:val="nil"/>
          <w:between w:val="nil"/>
        </w:pBdr>
        <w:jc w:val="both"/>
        <w:rPr>
          <w:sz w:val="22"/>
          <w:szCs w:val="22"/>
        </w:rPr>
      </w:pPr>
      <w:r>
        <w:rPr>
          <w:b/>
          <w:sz w:val="22"/>
          <w:szCs w:val="22"/>
        </w:rPr>
        <w:t xml:space="preserve">Prestación de atención: </w:t>
      </w:r>
      <w:r>
        <w:rPr>
          <w:sz w:val="22"/>
          <w:szCs w:val="22"/>
        </w:rPr>
        <w:t>Cuando el abuso ocurre en el hogar, se requiere garantizar un espacio seguro para la recuperación. Incluir la voz del niño o niña en la definición de su entorno protector reduce el riesgo de revictimización y mejora su participación en el proceso.</w:t>
      </w:r>
    </w:p>
    <w:p w14:paraId="5C583589" w14:textId="77777777" w:rsidR="00DC42CA" w:rsidRDefault="00443318">
      <w:pPr>
        <w:numPr>
          <w:ilvl w:val="0"/>
          <w:numId w:val="7"/>
        </w:numPr>
        <w:pBdr>
          <w:top w:val="nil"/>
          <w:left w:val="nil"/>
          <w:bottom w:val="nil"/>
          <w:right w:val="nil"/>
          <w:between w:val="nil"/>
        </w:pBdr>
        <w:jc w:val="both"/>
        <w:rPr>
          <w:sz w:val="22"/>
          <w:szCs w:val="22"/>
        </w:rPr>
      </w:pPr>
      <w:r>
        <w:rPr>
          <w:b/>
          <w:sz w:val="22"/>
          <w:szCs w:val="22"/>
        </w:rPr>
        <w:t>Necesidades legales o jurídicas:</w:t>
      </w:r>
      <w:r>
        <w:rPr>
          <w:sz w:val="22"/>
          <w:szCs w:val="22"/>
        </w:rPr>
        <w:t xml:space="preserve"> Los NNA tienen derecho a la justicia y necesitan acompañamiento durante el proceso legal. Es necesario visibilizar barreras estructurales y brindar información clara para que se sientan protegidos y empoderados al interactuar con el sistema judicial.</w:t>
      </w:r>
    </w:p>
    <w:p w14:paraId="3F0AAFDF" w14:textId="77777777" w:rsidR="00DC42CA" w:rsidRDefault="00443318">
      <w:pPr>
        <w:numPr>
          <w:ilvl w:val="0"/>
          <w:numId w:val="7"/>
        </w:numPr>
        <w:pBdr>
          <w:top w:val="nil"/>
          <w:left w:val="nil"/>
          <w:bottom w:val="nil"/>
          <w:right w:val="nil"/>
          <w:between w:val="nil"/>
        </w:pBdr>
        <w:spacing w:after="280"/>
        <w:rPr>
          <w:sz w:val="22"/>
          <w:szCs w:val="22"/>
        </w:rPr>
      </w:pPr>
      <w:r>
        <w:rPr>
          <w:b/>
          <w:sz w:val="22"/>
          <w:szCs w:val="22"/>
        </w:rPr>
        <w:t xml:space="preserve">Otras intervenciones de protección: </w:t>
      </w:r>
      <w:r>
        <w:rPr>
          <w:sz w:val="22"/>
          <w:szCs w:val="22"/>
        </w:rPr>
        <w:t>Niños y niñas separados de sus familias o con alto riesgo de vulnerabilidad necesitan intervenciones específicas. Reconocer su capacidad de resiliencia y sus decisiones durante la adversidad es clave para fortalecer su recuperación y autonomía.</w:t>
      </w:r>
    </w:p>
    <w:p w14:paraId="1809D575" w14:textId="77777777" w:rsidR="00DC42CA" w:rsidRDefault="00443318">
      <w:pPr>
        <w:spacing w:before="280" w:after="280"/>
        <w:jc w:val="both"/>
        <w:rPr>
          <w:sz w:val="22"/>
          <w:szCs w:val="22"/>
        </w:rPr>
      </w:pPr>
      <w:r>
        <w:rPr>
          <w:sz w:val="22"/>
          <w:szCs w:val="22"/>
        </w:rPr>
        <w:t>Como se evidencia, la implementación de medidas de atención inmediata hace una diferencia determinante en la forma como los niños, niñas y adolescentes pueden afrontar y superar la violencia sexual. Atender de manera oportuna sus necesidades físicas, emocionales, sociales, legales y de protección no solo reduce el daño inmediato, sino que también abre el camino hacia una recuperación integral, digna y basada en el reconocimiento de sus derechos. Brindar respuestas rápidas, coordinadas y centradas en el interés superior del niño es una obligación ética, institucional y social que no puede postergarse.</w:t>
      </w:r>
    </w:p>
    <w:p w14:paraId="4C4E9C01" w14:textId="77777777" w:rsidR="00DC42CA" w:rsidRDefault="00443318">
      <w:pPr>
        <w:numPr>
          <w:ilvl w:val="0"/>
          <w:numId w:val="1"/>
        </w:numPr>
        <w:spacing w:after="160"/>
        <w:rPr>
          <w:b/>
          <w:sz w:val="22"/>
          <w:szCs w:val="22"/>
        </w:rPr>
      </w:pPr>
      <w:r>
        <w:rPr>
          <w:b/>
          <w:sz w:val="22"/>
          <w:szCs w:val="22"/>
        </w:rPr>
        <w:t>SUSTENTO JURÍDICO DE LA INICIATIVA</w:t>
      </w:r>
    </w:p>
    <w:p w14:paraId="7EC3BC88" w14:textId="77777777" w:rsidR="00DC42CA" w:rsidRDefault="00443318">
      <w:pPr>
        <w:numPr>
          <w:ilvl w:val="1"/>
          <w:numId w:val="1"/>
        </w:numPr>
        <w:spacing w:after="160"/>
        <w:rPr>
          <w:b/>
          <w:sz w:val="22"/>
          <w:szCs w:val="22"/>
        </w:rPr>
      </w:pPr>
      <w:r>
        <w:rPr>
          <w:b/>
          <w:sz w:val="22"/>
          <w:szCs w:val="22"/>
        </w:rPr>
        <w:t>Constitución Política</w:t>
      </w:r>
    </w:p>
    <w:p w14:paraId="3624BC5F" w14:textId="77777777" w:rsidR="00DC42CA" w:rsidRDefault="00443318">
      <w:pPr>
        <w:spacing w:after="160"/>
        <w:ind w:left="700"/>
        <w:jc w:val="both"/>
        <w:rPr>
          <w:sz w:val="22"/>
          <w:szCs w:val="22"/>
        </w:rPr>
      </w:pPr>
      <w:r>
        <w:rPr>
          <w:b/>
          <w:sz w:val="22"/>
          <w:szCs w:val="22"/>
        </w:rPr>
        <w:t>Artículo</w:t>
      </w:r>
      <w:bookmarkStart w:id="1" w:name="bookmark=id.5n7cu09n7pm" w:colFirst="0" w:colLast="0"/>
      <w:bookmarkEnd w:id="1"/>
      <w:r>
        <w:rPr>
          <w:b/>
          <w:sz w:val="22"/>
          <w:szCs w:val="22"/>
        </w:rPr>
        <w:t> 1.</w:t>
      </w:r>
      <w:r>
        <w:rPr>
          <w:sz w:val="22"/>
          <w:szCs w:val="22"/>
        </w:rPr>
        <w:t xml:space="preserve"> Colombia es un Estado social de derecho, organizado en forma de República unitaria, descentralizada, con autonomía de sus entidades territoriales, democrática, participativa y pluralista, </w:t>
      </w:r>
      <w:r>
        <w:rPr>
          <w:sz w:val="22"/>
          <w:szCs w:val="22"/>
          <w:u w:val="single"/>
        </w:rPr>
        <w:t>fundada en el respeto de la dignidad humana</w:t>
      </w:r>
      <w:r>
        <w:rPr>
          <w:sz w:val="22"/>
          <w:szCs w:val="22"/>
        </w:rPr>
        <w:t xml:space="preserve">, en el trabajo y la solidaridad de las personas que la integran y en la prevalencia del interés general. </w:t>
      </w:r>
    </w:p>
    <w:p w14:paraId="3A5B51DE" w14:textId="77777777" w:rsidR="00DC42CA" w:rsidRDefault="00443318">
      <w:pPr>
        <w:spacing w:after="160"/>
        <w:ind w:left="700"/>
        <w:jc w:val="both"/>
        <w:rPr>
          <w:sz w:val="22"/>
          <w:szCs w:val="22"/>
        </w:rPr>
      </w:pPr>
      <w:r>
        <w:rPr>
          <w:b/>
          <w:sz w:val="22"/>
          <w:szCs w:val="22"/>
        </w:rPr>
        <w:t>Artículo</w:t>
      </w:r>
      <w:bookmarkStart w:id="2" w:name="bookmark=id.nhb4bs9d9xeg" w:colFirst="0" w:colLast="0"/>
      <w:bookmarkEnd w:id="2"/>
      <w:r>
        <w:rPr>
          <w:b/>
          <w:sz w:val="22"/>
          <w:szCs w:val="22"/>
        </w:rPr>
        <w:t> 13.</w:t>
      </w:r>
      <w:r>
        <w:rPr>
          <w:sz w:val="22"/>
          <w:szCs w:val="22"/>
        </w:rPr>
        <w:t> 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5C6084D1" w14:textId="77777777" w:rsidR="00DC42CA" w:rsidRDefault="00443318">
      <w:pPr>
        <w:spacing w:after="160"/>
        <w:ind w:left="700"/>
        <w:jc w:val="both"/>
        <w:rPr>
          <w:sz w:val="22"/>
          <w:szCs w:val="22"/>
        </w:rPr>
      </w:pPr>
      <w:r>
        <w:rPr>
          <w:sz w:val="22"/>
          <w:szCs w:val="22"/>
        </w:rPr>
        <w:t>El Estado promoverá las condiciones para que la igualdad sea real y efectiva y adoptará medidas en favor de grupos discriminados o marginados.</w:t>
      </w:r>
    </w:p>
    <w:p w14:paraId="7DD43797" w14:textId="77777777" w:rsidR="00DC42CA" w:rsidRDefault="00443318">
      <w:pPr>
        <w:spacing w:after="160"/>
        <w:ind w:left="700"/>
        <w:jc w:val="both"/>
        <w:rPr>
          <w:sz w:val="22"/>
          <w:szCs w:val="22"/>
        </w:rPr>
      </w:pPr>
      <w:r>
        <w:rPr>
          <w:sz w:val="22"/>
          <w:szCs w:val="22"/>
          <w:u w:val="single"/>
        </w:rPr>
        <w:t>El Estado protegerá especialmente a aquellas personas que por su condición económica, física o mental, se encuentren en circunstancia de debilidad manifiesta y sancionará los abusos o maltratos que contra ellas se cometan</w:t>
      </w:r>
      <w:r>
        <w:rPr>
          <w:sz w:val="22"/>
          <w:szCs w:val="22"/>
        </w:rPr>
        <w:t xml:space="preserve">. </w:t>
      </w:r>
    </w:p>
    <w:p w14:paraId="51658AC0" w14:textId="77777777" w:rsidR="00DC42CA" w:rsidRDefault="00443318">
      <w:pPr>
        <w:spacing w:after="160"/>
        <w:ind w:left="700"/>
        <w:jc w:val="both"/>
        <w:rPr>
          <w:sz w:val="22"/>
          <w:szCs w:val="22"/>
        </w:rPr>
      </w:pPr>
      <w:r>
        <w:rPr>
          <w:b/>
          <w:sz w:val="22"/>
          <w:szCs w:val="22"/>
        </w:rPr>
        <w:t xml:space="preserve">Artículo 44. Son derechos fundamentales de los niños: </w:t>
      </w:r>
      <w:r>
        <w:rPr>
          <w:sz w:val="22"/>
          <w:szCs w:val="22"/>
        </w:rPr>
        <w:t xml:space="preserve">la vida, la integridad física, la salud y la seguridad social, la alimentación equilibrada, su nombre y nacionalidad, tener una familia y no ser separados de ella, el cuidado y amor, la educación y la cultura, la recreación y la libre expresión de su opinión. </w:t>
      </w:r>
      <w:r>
        <w:rPr>
          <w:sz w:val="22"/>
          <w:szCs w:val="22"/>
          <w:u w:val="single"/>
        </w:rPr>
        <w:t>Serán protegidos contra toda forma de abandono, violencia física o moral, secuestro, venta, abuso sexual, explotación laboral o económica y trabajos riesgosos</w:t>
      </w:r>
      <w:r>
        <w:rPr>
          <w:sz w:val="22"/>
          <w:szCs w:val="22"/>
        </w:rPr>
        <w:t xml:space="preserve">. Gozarán también de los demás derechos consagrados en la Constitución, en las leyes y en los tratados internacionales ratificados por Colombia. </w:t>
      </w:r>
    </w:p>
    <w:p w14:paraId="3F88BAFF" w14:textId="77777777" w:rsidR="00DC42CA" w:rsidRDefault="00443318">
      <w:pPr>
        <w:spacing w:after="160"/>
        <w:ind w:left="700"/>
        <w:jc w:val="both"/>
        <w:rPr>
          <w:sz w:val="22"/>
          <w:szCs w:val="22"/>
        </w:rPr>
      </w:pPr>
      <w:r>
        <w:rPr>
          <w:sz w:val="22"/>
          <w:szCs w:val="22"/>
          <w:u w:val="single"/>
        </w:rPr>
        <w:t>La familia, la sociedad y el Estado tienen la obligación de asistir y proteger al niño para garantizar su desarrollo armónico e integral y el ejercicio pleno de sus derechos</w:t>
      </w:r>
      <w:r>
        <w:rPr>
          <w:sz w:val="22"/>
          <w:szCs w:val="22"/>
        </w:rPr>
        <w:t xml:space="preserve">. Cualquier persona puede exigir de la autoridad competente su cumplimiento y la sanción de los infractores. </w:t>
      </w:r>
    </w:p>
    <w:p w14:paraId="7B7A9AE8" w14:textId="77777777" w:rsidR="00DC42CA" w:rsidRDefault="00443318">
      <w:pPr>
        <w:spacing w:after="160"/>
        <w:ind w:left="700"/>
        <w:jc w:val="both"/>
        <w:rPr>
          <w:sz w:val="22"/>
          <w:szCs w:val="22"/>
        </w:rPr>
      </w:pPr>
      <w:r>
        <w:rPr>
          <w:sz w:val="22"/>
          <w:szCs w:val="22"/>
          <w:u w:val="single"/>
        </w:rPr>
        <w:t>Los derechos de los niños prevalecen sobre los derechos de los demás.</w:t>
      </w:r>
      <w:r>
        <w:rPr>
          <w:sz w:val="22"/>
          <w:szCs w:val="22"/>
        </w:rPr>
        <w:t xml:space="preserve"> (Subrayado fuera de texto).</w:t>
      </w:r>
    </w:p>
    <w:p w14:paraId="2995A10E" w14:textId="77777777" w:rsidR="00DC42CA" w:rsidRDefault="00443318">
      <w:pPr>
        <w:spacing w:after="160"/>
        <w:ind w:left="700"/>
        <w:jc w:val="both"/>
        <w:rPr>
          <w:sz w:val="22"/>
          <w:szCs w:val="22"/>
        </w:rPr>
      </w:pPr>
      <w:r>
        <w:rPr>
          <w:b/>
          <w:sz w:val="22"/>
          <w:szCs w:val="22"/>
        </w:rPr>
        <w:t xml:space="preserve">Artículo 93. </w:t>
      </w:r>
      <w:r>
        <w:rPr>
          <w:sz w:val="22"/>
          <w:szCs w:val="22"/>
        </w:rPr>
        <w:t>Los tratados y convenios internacionales ratificados por el Congreso, que reconocen los derechos humanos y que prohíben su limitación en los estados de excepción, prevalecen en el orden interno. (…)</w:t>
      </w:r>
    </w:p>
    <w:p w14:paraId="6C5069C7" w14:textId="77777777" w:rsidR="00DC42CA" w:rsidRDefault="00443318">
      <w:pPr>
        <w:spacing w:after="160"/>
        <w:jc w:val="both"/>
        <w:rPr>
          <w:sz w:val="22"/>
          <w:szCs w:val="22"/>
        </w:rPr>
      </w:pPr>
      <w:r>
        <w:rPr>
          <w:sz w:val="22"/>
          <w:szCs w:val="22"/>
        </w:rPr>
        <w:t>Subrayado fuera de texto.</w:t>
      </w:r>
    </w:p>
    <w:p w14:paraId="63F6F35F" w14:textId="77777777" w:rsidR="00DC42CA" w:rsidRDefault="00443318">
      <w:pPr>
        <w:numPr>
          <w:ilvl w:val="1"/>
          <w:numId w:val="1"/>
        </w:numPr>
        <w:spacing w:after="160"/>
        <w:rPr>
          <w:b/>
          <w:sz w:val="22"/>
          <w:szCs w:val="22"/>
        </w:rPr>
      </w:pPr>
      <w:r>
        <w:rPr>
          <w:b/>
          <w:sz w:val="22"/>
          <w:szCs w:val="22"/>
        </w:rPr>
        <w:t>Leyes</w:t>
      </w:r>
    </w:p>
    <w:p w14:paraId="13E37BED" w14:textId="77777777" w:rsidR="00DC42CA" w:rsidRDefault="00443318">
      <w:pPr>
        <w:spacing w:after="160"/>
        <w:ind w:left="360"/>
        <w:jc w:val="both"/>
        <w:rPr>
          <w:b/>
          <w:sz w:val="22"/>
          <w:szCs w:val="22"/>
        </w:rPr>
      </w:pPr>
      <w:r>
        <w:rPr>
          <w:b/>
          <w:sz w:val="22"/>
          <w:szCs w:val="22"/>
        </w:rPr>
        <w:t>Ley 599 de 2000 “Por la cual se expide el Código Penal”</w:t>
      </w:r>
    </w:p>
    <w:p w14:paraId="1915E29B" w14:textId="77777777" w:rsidR="00DC42CA" w:rsidRDefault="00443318">
      <w:pPr>
        <w:spacing w:after="160"/>
        <w:ind w:left="720"/>
        <w:jc w:val="both"/>
        <w:rPr>
          <w:i/>
          <w:sz w:val="22"/>
          <w:szCs w:val="22"/>
        </w:rPr>
      </w:pPr>
      <w:r>
        <w:rPr>
          <w:sz w:val="22"/>
          <w:szCs w:val="22"/>
        </w:rPr>
        <w:t>La protección de los derechos de los menores de edad, en el cual se determina que cualquier acercamiento hacia un menor de edad será considerado como abuso sexual infantil.  En el capítulo II se establecen los delitos tipificados como actos sexuales abusivos, en los artículos En los capítulos I y II se establecen los delitos contra la libertad, en los artículos 208, 209, 210 y 210-A, se establecen las circunstancias de agravación punitiva cuando la conducta se cometa en contra de niño, niña o adolescente. establece las consecuencias penales sobre el abuso sexual</w:t>
      </w:r>
      <w:r>
        <w:rPr>
          <w:i/>
          <w:sz w:val="22"/>
          <w:szCs w:val="22"/>
        </w:rPr>
        <w:t xml:space="preserve">. </w:t>
      </w:r>
    </w:p>
    <w:p w14:paraId="77A30DED" w14:textId="77777777" w:rsidR="00DC42CA" w:rsidRDefault="00443318">
      <w:pPr>
        <w:spacing w:after="160"/>
        <w:ind w:left="720"/>
        <w:jc w:val="both"/>
        <w:rPr>
          <w:sz w:val="22"/>
          <w:szCs w:val="22"/>
        </w:rPr>
      </w:pPr>
      <w:r>
        <w:rPr>
          <w:sz w:val="22"/>
          <w:szCs w:val="22"/>
        </w:rPr>
        <w:t xml:space="preserve">Por otro lado, el capítulo IV establece en los delitos de explotación sexual en el artículo 213 A, 217, 217A, 218, 219 y 219-A, así como su respectiva circunstancia de agravación punitiva cuando se realiza en persona menor de 14 años. </w:t>
      </w:r>
    </w:p>
    <w:p w14:paraId="455A3116" w14:textId="77777777" w:rsidR="00DC42CA" w:rsidRDefault="00443318">
      <w:pPr>
        <w:spacing w:after="160"/>
        <w:ind w:left="360"/>
        <w:jc w:val="both"/>
        <w:rPr>
          <w:b/>
          <w:sz w:val="22"/>
          <w:szCs w:val="22"/>
        </w:rPr>
      </w:pPr>
      <w:r>
        <w:rPr>
          <w:b/>
          <w:sz w:val="22"/>
          <w:szCs w:val="22"/>
        </w:rPr>
        <w:t>Ley 1098 de 2006  “Por la cual se expide el Código de la Infancia y la Adolescencia”</w:t>
      </w:r>
    </w:p>
    <w:p w14:paraId="3019F9BA" w14:textId="77777777" w:rsidR="00DC42CA" w:rsidRDefault="00443318">
      <w:pPr>
        <w:spacing w:before="180" w:after="180"/>
        <w:ind w:left="720"/>
        <w:jc w:val="both"/>
        <w:rPr>
          <w:sz w:val="22"/>
          <w:szCs w:val="22"/>
        </w:rPr>
      </w:pPr>
      <w:r>
        <w:rPr>
          <w:b/>
          <w:sz w:val="22"/>
          <w:szCs w:val="22"/>
        </w:rPr>
        <w:t>Artículo 7. Protección Integral</w:t>
      </w:r>
      <w:r>
        <w:rPr>
          <w:sz w:val="22"/>
          <w:szCs w:val="22"/>
        </w:rPr>
        <w:t xml:space="preserve">. Se entiende por protección integral de los niños, niñas y adolescentes el reconocimiento como sujetos de derechos, la garantía y cumplimiento de los mismos, </w:t>
      </w:r>
      <w:r>
        <w:rPr>
          <w:sz w:val="22"/>
          <w:szCs w:val="22"/>
          <w:u w:val="single"/>
        </w:rPr>
        <w:t>la prevención de su amenaza o vulneración y la seguridad de su restablecimiento inmediato en desarrollo del principio del interés superior.</w:t>
      </w:r>
    </w:p>
    <w:p w14:paraId="6F8E1B26" w14:textId="77777777" w:rsidR="00DC42CA" w:rsidRDefault="00443318">
      <w:pPr>
        <w:spacing w:before="180" w:after="180"/>
        <w:ind w:left="720"/>
        <w:jc w:val="both"/>
        <w:rPr>
          <w:sz w:val="22"/>
          <w:szCs w:val="22"/>
        </w:rPr>
      </w:pPr>
      <w:r>
        <w:rPr>
          <w:sz w:val="22"/>
          <w:szCs w:val="22"/>
        </w:rPr>
        <w:t xml:space="preserve">La protección integral </w:t>
      </w:r>
      <w:r>
        <w:rPr>
          <w:sz w:val="22"/>
          <w:szCs w:val="22"/>
          <w:u w:val="single"/>
        </w:rPr>
        <w:t>se materializa en el conjunto de políticas, planes, programas y acciones</w:t>
      </w:r>
      <w:r>
        <w:rPr>
          <w:sz w:val="22"/>
          <w:szCs w:val="22"/>
        </w:rPr>
        <w:t xml:space="preserve"> que se ejecuten en los ámbitos nacional, departamental, distrital y municipal con la correspondiente asignación de recursos financieros, físicos y humanos.</w:t>
      </w:r>
    </w:p>
    <w:p w14:paraId="39B4850E" w14:textId="77777777" w:rsidR="00DC42CA" w:rsidRDefault="00443318">
      <w:pPr>
        <w:spacing w:before="180" w:after="180"/>
        <w:ind w:left="720"/>
        <w:jc w:val="both"/>
        <w:rPr>
          <w:sz w:val="22"/>
          <w:szCs w:val="22"/>
        </w:rPr>
      </w:pPr>
      <w:bookmarkStart w:id="3" w:name="bookmark=id.2skethv50dd5" w:colFirst="0" w:colLast="0"/>
      <w:bookmarkEnd w:id="3"/>
      <w:r>
        <w:rPr>
          <w:b/>
          <w:sz w:val="22"/>
          <w:szCs w:val="22"/>
        </w:rPr>
        <w:t>Artículo 8.</w:t>
      </w:r>
      <w:r>
        <w:rPr>
          <w:sz w:val="22"/>
          <w:szCs w:val="22"/>
        </w:rPr>
        <w:t xml:space="preserve"> </w:t>
      </w:r>
      <w:r>
        <w:rPr>
          <w:b/>
          <w:sz w:val="22"/>
          <w:szCs w:val="22"/>
        </w:rPr>
        <w:t>Interés superior de los niños, las niñas y los adolescentes</w:t>
      </w:r>
      <w:r>
        <w:rPr>
          <w:sz w:val="22"/>
          <w:szCs w:val="22"/>
        </w:rPr>
        <w:t xml:space="preserve">. Se entiende por interés superior del niño, niña y adolescente, el imperativo que </w:t>
      </w:r>
      <w:r>
        <w:rPr>
          <w:sz w:val="22"/>
          <w:szCs w:val="22"/>
          <w:u w:val="single"/>
        </w:rPr>
        <w:t>obliga a todas las personas a garantizar la satisfacción integral y simultánea de todos sus Derechos Humanos</w:t>
      </w:r>
      <w:r>
        <w:rPr>
          <w:sz w:val="22"/>
          <w:szCs w:val="22"/>
        </w:rPr>
        <w:t>, que son universales, prevalentes e interdependientes.</w:t>
      </w:r>
    </w:p>
    <w:p w14:paraId="5D61347D" w14:textId="77777777" w:rsidR="00DC42CA" w:rsidRDefault="00443318">
      <w:pPr>
        <w:spacing w:before="180" w:after="180"/>
        <w:ind w:left="720"/>
        <w:jc w:val="both"/>
        <w:rPr>
          <w:sz w:val="22"/>
          <w:szCs w:val="22"/>
        </w:rPr>
      </w:pPr>
      <w:r>
        <w:rPr>
          <w:b/>
          <w:sz w:val="22"/>
          <w:szCs w:val="22"/>
        </w:rPr>
        <w:t xml:space="preserve">Artículo 18. Derecho a la Integridad Personal. </w:t>
      </w:r>
      <w:r>
        <w:rPr>
          <w:sz w:val="22"/>
          <w:szCs w:val="22"/>
        </w:rPr>
        <w:t xml:space="preserve">Los niños, las niñas y los adolescentes tienen derecho a ser protegidos contra todas las acciones o conductas que causen muerte, daño o sufrimiento físico, sexual o psicológico. En especial, </w:t>
      </w:r>
      <w:r>
        <w:rPr>
          <w:sz w:val="22"/>
          <w:szCs w:val="22"/>
          <w:u w:val="single"/>
        </w:rPr>
        <w:t>tienen derecho a la protección contra el maltrato y los abusos de toda índole</w:t>
      </w:r>
      <w:r>
        <w:rPr>
          <w:sz w:val="22"/>
          <w:szCs w:val="22"/>
        </w:rPr>
        <w:t xml:space="preserve"> por parte de sus padres, de sus representantes legales, de las personas responsables de su cuidado y de los miembros de su grupo familiar, escolar y comunitario.</w:t>
      </w:r>
    </w:p>
    <w:p w14:paraId="75278768" w14:textId="77777777" w:rsidR="00DC42CA" w:rsidRDefault="00443318">
      <w:pPr>
        <w:spacing w:before="180" w:after="180"/>
        <w:ind w:left="720"/>
        <w:jc w:val="both"/>
        <w:rPr>
          <w:sz w:val="22"/>
          <w:szCs w:val="22"/>
        </w:rPr>
      </w:pPr>
      <w:r>
        <w:rPr>
          <w:sz w:val="22"/>
          <w:szCs w:val="22"/>
        </w:rPr>
        <w:t xml:space="preserve">Para los efectos de este Código, </w:t>
      </w:r>
      <w:r>
        <w:rPr>
          <w:sz w:val="22"/>
          <w:szCs w:val="22"/>
          <w:u w:val="single"/>
        </w:rPr>
        <w:t>se entiende por maltrato infantil toda forma de perjuicio, castigo, humillación o abuso físico o psicológico, descuido, omisión o trato negligente, malos tratos o explotación sexual, incluidos los actos sexuales abusivos y la violación y en general toda forma de violencia o agresión sobre el niño, la niña o el adolescente</w:t>
      </w:r>
      <w:r>
        <w:rPr>
          <w:sz w:val="22"/>
          <w:szCs w:val="22"/>
        </w:rPr>
        <w:t xml:space="preserve"> por parte de sus padres, representantes legales o cualquier otra persona.</w:t>
      </w:r>
    </w:p>
    <w:p w14:paraId="0882A57C" w14:textId="77777777" w:rsidR="00DC42CA" w:rsidRDefault="00443318">
      <w:pPr>
        <w:spacing w:before="180" w:after="180"/>
        <w:ind w:left="720"/>
        <w:jc w:val="both"/>
        <w:rPr>
          <w:sz w:val="22"/>
          <w:szCs w:val="22"/>
        </w:rPr>
      </w:pPr>
      <w:bookmarkStart w:id="4" w:name="bookmark=id.hmkvgh6y4o6j" w:colFirst="0" w:colLast="0"/>
      <w:bookmarkEnd w:id="4"/>
      <w:r>
        <w:rPr>
          <w:b/>
          <w:sz w:val="22"/>
          <w:szCs w:val="22"/>
        </w:rPr>
        <w:t>Artículo 33. Derecho a la intimidad.</w:t>
      </w:r>
      <w:r>
        <w:rPr>
          <w:sz w:val="22"/>
          <w:szCs w:val="22"/>
        </w:rPr>
        <w:t xml:space="preserve"> Los niños, las niñas y los adolescentes tienen derecho a la intimidad personal, mediante la protección contra toda injerencia arbitraria o ilegal en su vida privada, la de su familia, domicilio y correspondencia. </w:t>
      </w:r>
      <w:r>
        <w:rPr>
          <w:sz w:val="22"/>
          <w:szCs w:val="22"/>
          <w:u w:val="single"/>
        </w:rPr>
        <w:t>Así mismo, serán protegidos contra toda conducta, acción o circunstancia que afecte su dignidad</w:t>
      </w:r>
      <w:r>
        <w:rPr>
          <w:sz w:val="22"/>
          <w:szCs w:val="22"/>
        </w:rPr>
        <w:t>.</w:t>
      </w:r>
    </w:p>
    <w:p w14:paraId="17132D89" w14:textId="77777777" w:rsidR="00DC42CA" w:rsidRDefault="00443318">
      <w:pPr>
        <w:spacing w:before="180" w:after="180"/>
        <w:ind w:left="720"/>
        <w:jc w:val="both"/>
        <w:rPr>
          <w:sz w:val="22"/>
          <w:szCs w:val="22"/>
        </w:rPr>
      </w:pPr>
      <w:r>
        <w:rPr>
          <w:b/>
          <w:sz w:val="22"/>
          <w:szCs w:val="22"/>
        </w:rPr>
        <w:t>Artículo 50. Restablecimiento de los derechos.</w:t>
      </w:r>
      <w:r>
        <w:rPr>
          <w:sz w:val="22"/>
          <w:szCs w:val="22"/>
        </w:rPr>
        <w:t xml:space="preserve"> Se entiende por restablecimiento de los derechos de los niños, las niñas y los adolescentes, </w:t>
      </w:r>
      <w:r>
        <w:rPr>
          <w:sz w:val="22"/>
          <w:szCs w:val="22"/>
          <w:u w:val="single"/>
        </w:rPr>
        <w:t>la restauración de su dignidad e integridad como sujetos y de la capacidad para hacer un ejercicio efectivo de los derechos que les han sido vulnerados</w:t>
      </w:r>
      <w:r>
        <w:rPr>
          <w:sz w:val="22"/>
          <w:szCs w:val="22"/>
        </w:rPr>
        <w:t>.</w:t>
      </w:r>
    </w:p>
    <w:p w14:paraId="55C6B00B" w14:textId="77777777" w:rsidR="00DC42CA" w:rsidRDefault="00443318">
      <w:pPr>
        <w:spacing w:before="180" w:after="180"/>
        <w:ind w:left="720"/>
        <w:jc w:val="both"/>
        <w:rPr>
          <w:sz w:val="22"/>
          <w:szCs w:val="22"/>
        </w:rPr>
      </w:pPr>
      <w:r>
        <w:rPr>
          <w:b/>
          <w:sz w:val="22"/>
          <w:szCs w:val="22"/>
        </w:rPr>
        <w:t xml:space="preserve">Artículo 51. Obligación del restablecimiento de los derechos de los niños, las niñas y los adolescentes. </w:t>
      </w:r>
      <w:r>
        <w:rPr>
          <w:sz w:val="22"/>
          <w:szCs w:val="22"/>
          <w:u w:val="single"/>
        </w:rPr>
        <w:t>El</w:t>
      </w:r>
      <w:r>
        <w:rPr>
          <w:b/>
          <w:sz w:val="22"/>
          <w:szCs w:val="22"/>
          <w:u w:val="single"/>
        </w:rPr>
        <w:t xml:space="preserve"> </w:t>
      </w:r>
      <w:r>
        <w:rPr>
          <w:sz w:val="22"/>
          <w:szCs w:val="22"/>
          <w:u w:val="single"/>
        </w:rPr>
        <w:t>restablecimiento de los derechos de los niños, las niñas o los adolescentes es responsabilidad del Estado</w:t>
      </w:r>
      <w:r>
        <w:rPr>
          <w:sz w:val="22"/>
          <w:szCs w:val="22"/>
        </w:rPr>
        <w:t xml:space="preserve"> en su conjunto a través de las autoridades públicas, quienes tienen la obligación de informar, oficiar o conducir ante la policía, las defensorías de familia, las comisarías de familia o en su defecto, los inspectores de policía o las personerías municipales o distritales, a todos los niños, las niñas o los adolescentes que se encuentren en condiciones de riesgo o vulnerabilidad. Cuando esto ocurra, la autoridad competente deberá asegurarse de que el Sistema Nacional de Bienestar Familiar garantice su vinculación a los servicios sociales.</w:t>
      </w:r>
    </w:p>
    <w:p w14:paraId="425C7694" w14:textId="77777777" w:rsidR="00DC42CA" w:rsidRDefault="00443318">
      <w:pPr>
        <w:spacing w:before="180" w:after="180"/>
        <w:ind w:left="720"/>
        <w:jc w:val="both"/>
        <w:rPr>
          <w:sz w:val="22"/>
          <w:szCs w:val="22"/>
        </w:rPr>
      </w:pPr>
      <w:r>
        <w:rPr>
          <w:b/>
          <w:sz w:val="22"/>
          <w:szCs w:val="22"/>
        </w:rPr>
        <w:t>Artículo 53. Medidas de restablecimiento de derechos.</w:t>
      </w:r>
      <w:r>
        <w:rPr>
          <w:sz w:val="22"/>
          <w:szCs w:val="22"/>
        </w:rPr>
        <w:t xml:space="preserve"> Son medidas de restablecimiento de los derechos de los niños, las niñas y los adolescentes las que a continuación se señalan. Para el restablecimiento de los derechos establecidos en este Código, la autoridad competente tomará alguna o varias de las siguientes medidas: </w:t>
      </w:r>
    </w:p>
    <w:p w14:paraId="703DEAC6" w14:textId="77777777" w:rsidR="00DC42CA" w:rsidRDefault="00443318">
      <w:pPr>
        <w:spacing w:before="180" w:after="180"/>
        <w:ind w:left="720"/>
        <w:jc w:val="both"/>
        <w:rPr>
          <w:sz w:val="22"/>
          <w:szCs w:val="22"/>
        </w:rPr>
      </w:pPr>
      <w:r>
        <w:rPr>
          <w:sz w:val="22"/>
          <w:szCs w:val="22"/>
        </w:rPr>
        <w:t>(…)</w:t>
      </w:r>
    </w:p>
    <w:p w14:paraId="1264940F" w14:textId="77777777" w:rsidR="00DC42CA" w:rsidRDefault="00443318">
      <w:pPr>
        <w:spacing w:before="180" w:after="180"/>
        <w:ind w:left="720"/>
        <w:jc w:val="both"/>
        <w:rPr>
          <w:sz w:val="22"/>
          <w:szCs w:val="22"/>
        </w:rPr>
      </w:pPr>
      <w:r>
        <w:rPr>
          <w:sz w:val="22"/>
          <w:szCs w:val="22"/>
        </w:rPr>
        <w:t xml:space="preserve">6. Además de las anteriores, se aplicarán las consagradas en otras disposiciones legales, </w:t>
      </w:r>
      <w:r>
        <w:rPr>
          <w:sz w:val="22"/>
          <w:szCs w:val="22"/>
          <w:u w:val="single"/>
        </w:rPr>
        <w:t>o cualquier otra que garantice la protección integral de los niños, las niñas y los adolescentes.</w:t>
      </w:r>
    </w:p>
    <w:p w14:paraId="3790CD1B" w14:textId="77777777" w:rsidR="00DC42CA" w:rsidRDefault="00443318">
      <w:pPr>
        <w:spacing w:before="180" w:after="180"/>
        <w:ind w:left="720"/>
        <w:jc w:val="both"/>
        <w:rPr>
          <w:sz w:val="22"/>
          <w:szCs w:val="22"/>
        </w:rPr>
      </w:pPr>
      <w:r>
        <w:rPr>
          <w:sz w:val="22"/>
          <w:szCs w:val="22"/>
        </w:rPr>
        <w:t>(…)</w:t>
      </w:r>
    </w:p>
    <w:p w14:paraId="49194D7D" w14:textId="77777777" w:rsidR="00DC42CA" w:rsidRDefault="00443318">
      <w:pPr>
        <w:spacing w:after="160"/>
        <w:ind w:left="360"/>
        <w:jc w:val="both"/>
        <w:rPr>
          <w:b/>
          <w:sz w:val="22"/>
          <w:szCs w:val="22"/>
        </w:rPr>
      </w:pPr>
      <w:r>
        <w:rPr>
          <w:b/>
          <w:sz w:val="22"/>
          <w:szCs w:val="22"/>
        </w:rPr>
        <w:t>LEY 1146 DE 2007 por medio de la cual se expiden normas para la prevención de la violencia sexual y atención integral de los niños, niñas y adolescentes abusados sexualmente.</w:t>
      </w:r>
    </w:p>
    <w:p w14:paraId="6ABE9597" w14:textId="77777777" w:rsidR="00DC42CA" w:rsidRDefault="00443318">
      <w:pPr>
        <w:spacing w:after="160"/>
        <w:ind w:left="720"/>
        <w:jc w:val="both"/>
        <w:rPr>
          <w:sz w:val="22"/>
          <w:szCs w:val="22"/>
        </w:rPr>
      </w:pPr>
      <w:r>
        <w:rPr>
          <w:b/>
          <w:sz w:val="22"/>
          <w:szCs w:val="22"/>
        </w:rPr>
        <w:t xml:space="preserve">Artículo 5°. Funciones del comité interinstitucional consultivo para la prevención de la violencia sexual y atención integral de los niños, niñas y adolescentes víctimas del abuso sexual. </w:t>
      </w:r>
      <w:r>
        <w:rPr>
          <w:sz w:val="22"/>
          <w:szCs w:val="22"/>
        </w:rPr>
        <w:t xml:space="preserve">El Comité tendrá las siguientes funciones:  1. Actuar como órgano consultor y asesor, encargado de formular políticas y programas de las entidades responsables y relacionadas con la prevención de la violencia sexual y </w:t>
      </w:r>
      <w:r>
        <w:rPr>
          <w:sz w:val="22"/>
          <w:szCs w:val="22"/>
          <w:u w:val="single"/>
        </w:rPr>
        <w:t>la atención integral del abuso sexual de niños, niñas y adolescentes</w:t>
      </w:r>
      <w:r>
        <w:rPr>
          <w:sz w:val="22"/>
          <w:szCs w:val="22"/>
        </w:rPr>
        <w:t>.</w:t>
      </w:r>
    </w:p>
    <w:p w14:paraId="2C7DB240" w14:textId="77777777" w:rsidR="00DC42CA" w:rsidRDefault="00DC42CA">
      <w:pPr>
        <w:spacing w:after="160"/>
        <w:ind w:left="720"/>
        <w:jc w:val="both"/>
        <w:rPr>
          <w:b/>
          <w:sz w:val="22"/>
          <w:szCs w:val="22"/>
        </w:rPr>
      </w:pPr>
    </w:p>
    <w:p w14:paraId="6D2C0668" w14:textId="77777777" w:rsidR="00DC42CA" w:rsidRDefault="00443318">
      <w:pPr>
        <w:spacing w:after="160"/>
        <w:ind w:left="360"/>
        <w:jc w:val="both"/>
        <w:rPr>
          <w:b/>
          <w:sz w:val="22"/>
          <w:szCs w:val="22"/>
        </w:rPr>
      </w:pPr>
      <w:r>
        <w:rPr>
          <w:b/>
          <w:sz w:val="22"/>
          <w:szCs w:val="22"/>
        </w:rPr>
        <w:t>LEY 1236 DE 2008 por medio de la cual se modifican algunos artículos del Código Penal relativos a delitos de abuso sexual</w:t>
      </w:r>
    </w:p>
    <w:p w14:paraId="4CFEB6B9" w14:textId="77777777" w:rsidR="00DC42CA" w:rsidRDefault="00443318">
      <w:pPr>
        <w:spacing w:after="160"/>
        <w:ind w:left="720"/>
        <w:jc w:val="both"/>
        <w:rPr>
          <w:sz w:val="22"/>
          <w:szCs w:val="22"/>
        </w:rPr>
      </w:pPr>
      <w:r>
        <w:rPr>
          <w:sz w:val="22"/>
          <w:szCs w:val="22"/>
        </w:rPr>
        <w:t>Que fortalece las sanciones penales para los delitos sexuales cometidos contra menores de 14 años. Su propósito principal es proteger a los niños, niñas y adolescentes frente a formas graves de abuso sexual, endureciendo las penas para quienes cometan estos delitos.</w:t>
      </w:r>
    </w:p>
    <w:p w14:paraId="62B4A31C" w14:textId="77777777" w:rsidR="00DC42CA" w:rsidRDefault="00443318">
      <w:pPr>
        <w:spacing w:after="160"/>
        <w:ind w:left="360"/>
        <w:jc w:val="both"/>
        <w:rPr>
          <w:b/>
          <w:sz w:val="22"/>
          <w:szCs w:val="22"/>
        </w:rPr>
      </w:pPr>
      <w:r>
        <w:rPr>
          <w:b/>
          <w:sz w:val="22"/>
          <w:szCs w:val="22"/>
        </w:rPr>
        <w:t>LEY 1361 DE 2009. Por medio de la cual se crea la Ley de Protección Integral a la Familia.</w:t>
      </w:r>
    </w:p>
    <w:p w14:paraId="46E24316" w14:textId="77777777" w:rsidR="00DC42CA" w:rsidRDefault="00443318">
      <w:pPr>
        <w:spacing w:after="160"/>
        <w:ind w:left="720"/>
        <w:jc w:val="both"/>
        <w:rPr>
          <w:sz w:val="22"/>
          <w:szCs w:val="22"/>
        </w:rPr>
      </w:pPr>
      <w:r>
        <w:rPr>
          <w:sz w:val="22"/>
          <w:szCs w:val="22"/>
        </w:rPr>
        <w:t>Artículo 4°. Derechos. El estado y la sociedad deben garantizar a la familia el ejercicio pleno de los siguientes derechos:</w:t>
      </w:r>
    </w:p>
    <w:p w14:paraId="71347BA1" w14:textId="77777777" w:rsidR="00DC42CA" w:rsidRDefault="00443318">
      <w:pPr>
        <w:ind w:left="1440"/>
        <w:jc w:val="both"/>
        <w:rPr>
          <w:sz w:val="22"/>
          <w:szCs w:val="22"/>
        </w:rPr>
      </w:pPr>
      <w:r>
        <w:rPr>
          <w:sz w:val="22"/>
          <w:szCs w:val="22"/>
        </w:rPr>
        <w:t> </w:t>
      </w:r>
    </w:p>
    <w:p w14:paraId="0577CB20" w14:textId="77777777" w:rsidR="00DC42CA" w:rsidRDefault="00443318">
      <w:pPr>
        <w:ind w:left="1080"/>
        <w:jc w:val="both"/>
        <w:rPr>
          <w:sz w:val="22"/>
          <w:szCs w:val="22"/>
        </w:rPr>
      </w:pPr>
      <w:r>
        <w:rPr>
          <w:sz w:val="22"/>
          <w:szCs w:val="22"/>
        </w:rPr>
        <w:t>(…) 7. Derecho a la honra, dignidad e intimidad.</w:t>
      </w:r>
    </w:p>
    <w:p w14:paraId="5FB832DC" w14:textId="77777777" w:rsidR="00DC42CA" w:rsidRDefault="00443318">
      <w:pPr>
        <w:ind w:left="1440"/>
        <w:jc w:val="both"/>
        <w:rPr>
          <w:sz w:val="22"/>
          <w:szCs w:val="22"/>
        </w:rPr>
      </w:pPr>
      <w:r>
        <w:rPr>
          <w:sz w:val="22"/>
          <w:szCs w:val="22"/>
        </w:rPr>
        <w:t> </w:t>
      </w:r>
    </w:p>
    <w:p w14:paraId="38841084" w14:textId="77777777" w:rsidR="00DC42CA" w:rsidRDefault="00443318">
      <w:pPr>
        <w:ind w:left="1080"/>
        <w:jc w:val="both"/>
        <w:rPr>
          <w:sz w:val="22"/>
          <w:szCs w:val="22"/>
        </w:rPr>
      </w:pPr>
      <w:r>
        <w:rPr>
          <w:sz w:val="22"/>
          <w:szCs w:val="22"/>
        </w:rPr>
        <w:t>(…) 10. Derecho a recibir protección y asistencia social cuando sus derechos sean vulnerados o amenazados.</w:t>
      </w:r>
    </w:p>
    <w:p w14:paraId="3D7A75B0" w14:textId="77777777" w:rsidR="00DC42CA" w:rsidRDefault="00DC42CA">
      <w:pPr>
        <w:jc w:val="both"/>
        <w:rPr>
          <w:sz w:val="22"/>
          <w:szCs w:val="22"/>
        </w:rPr>
      </w:pPr>
    </w:p>
    <w:p w14:paraId="1E01C3B2" w14:textId="77777777" w:rsidR="00DC42CA" w:rsidRDefault="00443318">
      <w:pPr>
        <w:ind w:left="1080"/>
        <w:jc w:val="both"/>
        <w:rPr>
          <w:sz w:val="22"/>
          <w:szCs w:val="22"/>
        </w:rPr>
      </w:pPr>
      <w:r>
        <w:rPr>
          <w:sz w:val="22"/>
          <w:szCs w:val="22"/>
        </w:rPr>
        <w:t>(…) 11. Derecho a vivir en entornos seguros y dignos.</w:t>
      </w:r>
    </w:p>
    <w:p w14:paraId="44BD4693" w14:textId="77777777" w:rsidR="00DC42CA" w:rsidRDefault="00DC42CA">
      <w:pPr>
        <w:jc w:val="both"/>
        <w:rPr>
          <w:b/>
          <w:sz w:val="22"/>
          <w:szCs w:val="22"/>
        </w:rPr>
      </w:pPr>
    </w:p>
    <w:p w14:paraId="2C49571C" w14:textId="77777777" w:rsidR="00DC42CA" w:rsidRDefault="00443318">
      <w:pPr>
        <w:spacing w:after="160"/>
        <w:ind w:left="360"/>
        <w:jc w:val="both"/>
        <w:rPr>
          <w:b/>
          <w:sz w:val="22"/>
          <w:szCs w:val="22"/>
        </w:rPr>
      </w:pPr>
      <w:r>
        <w:rPr>
          <w:b/>
          <w:sz w:val="22"/>
          <w:szCs w:val="22"/>
        </w:rPr>
        <w:t>Ley 765 de 2002 "Por medio de la cual se aprueba el "Protocolo Facultativo de la Convención sobre los Derechos del Niño relativo a la venta de niños, la prostitución infantil y la utilización de los niños en la pornografía", adoptado en Nueva York, el veinticinco (25) de mayo de dos mil (2000)".</w:t>
      </w:r>
    </w:p>
    <w:p w14:paraId="149FA19E" w14:textId="77777777" w:rsidR="00DC42CA" w:rsidRDefault="00443318">
      <w:pPr>
        <w:spacing w:after="160"/>
        <w:ind w:left="720"/>
        <w:jc w:val="both"/>
        <w:rPr>
          <w:b/>
          <w:sz w:val="22"/>
          <w:szCs w:val="22"/>
        </w:rPr>
      </w:pPr>
      <w:r>
        <w:rPr>
          <w:b/>
          <w:sz w:val="22"/>
          <w:szCs w:val="22"/>
        </w:rPr>
        <w:t>Artículo 9°.</w:t>
      </w:r>
    </w:p>
    <w:p w14:paraId="4B07F913" w14:textId="77777777" w:rsidR="00DC42CA" w:rsidRDefault="00443318">
      <w:pPr>
        <w:spacing w:after="160"/>
        <w:ind w:left="1440"/>
        <w:jc w:val="both"/>
        <w:rPr>
          <w:sz w:val="22"/>
          <w:szCs w:val="22"/>
        </w:rPr>
      </w:pPr>
      <w:r>
        <w:rPr>
          <w:sz w:val="22"/>
          <w:szCs w:val="22"/>
        </w:rPr>
        <w:t xml:space="preserve">1. Los Estados Partes adoptarán o reforzarán, aplicarán y darán publicidad a las leyes, las medidas administrativas, las políticas y los programas sociales, destinados a la prevención de los delitos a que se refiere el presente Protocolo. </w:t>
      </w:r>
      <w:r>
        <w:rPr>
          <w:sz w:val="22"/>
          <w:szCs w:val="22"/>
          <w:u w:val="single"/>
        </w:rPr>
        <w:t>Se prestará particular atención a la protección de los niños que sean especialmente vulnerables a esas prácticas.</w:t>
      </w:r>
    </w:p>
    <w:p w14:paraId="0BEB1D1B" w14:textId="77777777" w:rsidR="00DC42CA" w:rsidRDefault="00443318">
      <w:pPr>
        <w:spacing w:after="160"/>
        <w:ind w:left="1440"/>
        <w:jc w:val="both"/>
        <w:rPr>
          <w:sz w:val="22"/>
          <w:szCs w:val="22"/>
          <w:u w:val="single"/>
        </w:rPr>
      </w:pPr>
      <w:r>
        <w:rPr>
          <w:sz w:val="22"/>
          <w:szCs w:val="22"/>
        </w:rPr>
        <w:t xml:space="preserve">(…) 3. Los Estados Partes tomarán todas las medidas posibles con el fin de asegurar toda la asistencia apropiada a las víctimas de esos delitos, </w:t>
      </w:r>
      <w:r>
        <w:rPr>
          <w:sz w:val="22"/>
          <w:szCs w:val="22"/>
          <w:u w:val="single"/>
        </w:rPr>
        <w:t>así como su plena reintegración social y su plena recuperación física y psicológica.</w:t>
      </w:r>
    </w:p>
    <w:p w14:paraId="55C8480F" w14:textId="77777777" w:rsidR="00DC42CA" w:rsidRDefault="00443318">
      <w:pPr>
        <w:spacing w:after="160"/>
        <w:ind w:left="360"/>
        <w:jc w:val="both"/>
        <w:rPr>
          <w:b/>
          <w:sz w:val="22"/>
          <w:szCs w:val="22"/>
        </w:rPr>
      </w:pPr>
      <w:r>
        <w:rPr>
          <w:b/>
          <w:sz w:val="22"/>
          <w:szCs w:val="22"/>
        </w:rPr>
        <w:t>LEY 74 DE 1968 Por la cual se aprueban los "Pactos Internacionales de Derechos Económicos, Sociales y Culturales, de Derechos Civiles y Políticos, así como el Protocolo Facultativo de este último", aprobados por la Asamblea General de las Naciones Unidas en votación Unánime, en Nueva York, el 16 de diciembre de 1966</w:t>
      </w:r>
    </w:p>
    <w:p w14:paraId="7F814A93" w14:textId="77777777" w:rsidR="00DC42CA" w:rsidRDefault="00443318">
      <w:pPr>
        <w:spacing w:after="160"/>
        <w:ind w:left="720"/>
        <w:jc w:val="both"/>
        <w:rPr>
          <w:sz w:val="22"/>
          <w:szCs w:val="22"/>
        </w:rPr>
      </w:pPr>
      <w:r>
        <w:rPr>
          <w:b/>
          <w:sz w:val="22"/>
          <w:szCs w:val="22"/>
        </w:rPr>
        <w:t xml:space="preserve">Artículo 24. </w:t>
      </w:r>
      <w:r>
        <w:rPr>
          <w:sz w:val="22"/>
          <w:szCs w:val="22"/>
        </w:rPr>
        <w:t xml:space="preserve">1.Todo niño tiene derecho, sin discriminación alguna por motivos de raza, sexo, idioma, religión, origen nacional o social, posición económica o nacimiento, </w:t>
      </w:r>
      <w:r>
        <w:rPr>
          <w:sz w:val="22"/>
          <w:szCs w:val="22"/>
          <w:u w:val="single"/>
        </w:rPr>
        <w:t>a las medidas de protección que su condición de menor requiere, tanto por parte de su familia como de la sociedad y del Estado</w:t>
      </w:r>
      <w:r>
        <w:rPr>
          <w:sz w:val="22"/>
          <w:szCs w:val="22"/>
        </w:rPr>
        <w:t>.</w:t>
      </w:r>
    </w:p>
    <w:p w14:paraId="1E16F585" w14:textId="77777777" w:rsidR="00DC42CA" w:rsidRDefault="00443318">
      <w:pPr>
        <w:spacing w:after="160"/>
        <w:ind w:left="360"/>
        <w:jc w:val="both"/>
        <w:rPr>
          <w:b/>
          <w:sz w:val="22"/>
          <w:szCs w:val="22"/>
        </w:rPr>
      </w:pPr>
      <w:r>
        <w:rPr>
          <w:b/>
          <w:sz w:val="22"/>
          <w:szCs w:val="22"/>
        </w:rPr>
        <w:t>LEY 12 DE 1991 "Por medio de la cual se aprueba la Convención sobre los Derechos Del Niño adoptada por la Asamblea General de las Naciones Unidas el 20 de noviembre de 1989".</w:t>
      </w:r>
    </w:p>
    <w:p w14:paraId="71D5BC6A" w14:textId="77777777" w:rsidR="00DC42CA" w:rsidRDefault="00443318">
      <w:pPr>
        <w:spacing w:after="160"/>
        <w:ind w:left="720"/>
        <w:jc w:val="both"/>
        <w:rPr>
          <w:sz w:val="22"/>
          <w:szCs w:val="22"/>
        </w:rPr>
      </w:pPr>
      <w:r>
        <w:rPr>
          <w:b/>
          <w:sz w:val="22"/>
          <w:szCs w:val="22"/>
        </w:rPr>
        <w:t>Artículo 39</w:t>
      </w:r>
      <w:r>
        <w:rPr>
          <w:sz w:val="22"/>
          <w:szCs w:val="22"/>
        </w:rPr>
        <w:t xml:space="preserve">. Los Estados Partes adoptarán </w:t>
      </w:r>
      <w:r>
        <w:rPr>
          <w:sz w:val="22"/>
          <w:szCs w:val="22"/>
          <w:u w:val="single"/>
        </w:rPr>
        <w:t>todas las medidas apropiadas para promover la recuperación física y psicológica y la reintegración social de todo niño víctima</w:t>
      </w:r>
      <w:r>
        <w:rPr>
          <w:sz w:val="22"/>
          <w:szCs w:val="22"/>
        </w:rPr>
        <w:t xml:space="preserve"> de: cualquier forma de abandono, explotación o abuso; tortura u otra forma de tratos o penas crueles, inhumanos o degradantes; o conflictos armados. </w:t>
      </w:r>
      <w:r>
        <w:rPr>
          <w:sz w:val="22"/>
          <w:szCs w:val="22"/>
          <w:u w:val="single"/>
        </w:rPr>
        <w:t>Esa recuperación y reintegración se llevarán a cabo en un ambiente que fomente la salud, el respeto de sí mismo y la dignidad del niño</w:t>
      </w:r>
    </w:p>
    <w:p w14:paraId="2FAA2B31" w14:textId="77777777" w:rsidR="00DC42CA" w:rsidRDefault="00443318">
      <w:pPr>
        <w:numPr>
          <w:ilvl w:val="1"/>
          <w:numId w:val="1"/>
        </w:numPr>
        <w:spacing w:after="160"/>
        <w:rPr>
          <w:b/>
          <w:sz w:val="22"/>
          <w:szCs w:val="22"/>
        </w:rPr>
      </w:pPr>
      <w:r>
        <w:rPr>
          <w:b/>
          <w:sz w:val="22"/>
          <w:szCs w:val="22"/>
        </w:rPr>
        <w:t>Decretos</w:t>
      </w:r>
    </w:p>
    <w:p w14:paraId="2E47B3DE" w14:textId="77777777" w:rsidR="00DC42CA" w:rsidRDefault="00443318">
      <w:pPr>
        <w:spacing w:after="160"/>
        <w:ind w:left="360"/>
        <w:jc w:val="both"/>
        <w:rPr>
          <w:b/>
          <w:sz w:val="22"/>
          <w:szCs w:val="22"/>
        </w:rPr>
      </w:pPr>
      <w:r>
        <w:rPr>
          <w:b/>
          <w:sz w:val="22"/>
          <w:szCs w:val="22"/>
        </w:rPr>
        <w:t>Decreto 87 de 2017 “Por el cual se reglamenta el funcionamiento del Fondo contra la Explotación Sexual de Niños, Niñas y Adolescentes, adscrito al Instituto Colombiano de Bienestar Familiar, y se dictan otras disposiciones”.</w:t>
      </w:r>
    </w:p>
    <w:p w14:paraId="0FCC26EA" w14:textId="77777777" w:rsidR="00DC42CA" w:rsidRDefault="00443318">
      <w:pPr>
        <w:spacing w:after="160"/>
        <w:ind w:left="720"/>
        <w:jc w:val="both"/>
        <w:rPr>
          <w:sz w:val="22"/>
          <w:szCs w:val="22"/>
        </w:rPr>
      </w:pPr>
      <w:r>
        <w:rPr>
          <w:b/>
          <w:sz w:val="22"/>
          <w:szCs w:val="22"/>
        </w:rPr>
        <w:t>ARTÍCULO 2.4.3.1.4.1.1.</w:t>
      </w:r>
      <w:r>
        <w:rPr>
          <w:b/>
          <w:i/>
          <w:sz w:val="22"/>
          <w:szCs w:val="22"/>
        </w:rPr>
        <w:t> Objeto.</w:t>
      </w:r>
      <w:r>
        <w:rPr>
          <w:b/>
          <w:sz w:val="22"/>
          <w:szCs w:val="22"/>
        </w:rPr>
        <w:t> </w:t>
      </w:r>
      <w:r>
        <w:rPr>
          <w:sz w:val="22"/>
          <w:szCs w:val="22"/>
        </w:rPr>
        <w:t xml:space="preserve">La presente Sección reglamenta el funcionamiento del Fondo contra la Explotación Sexual de Niños, Niñas y Adolescentes adscrito al Instituto Colombiano de Bienestar Familiar, creado por el artículo 24 de la Ley 679 de 2001, la cual fue adicionada y robustecida por la Ley 1336 de 2009, con el objeto de proveer rentas destinadas a la inversión social, garantizar la financiación de los planes y </w:t>
      </w:r>
      <w:r>
        <w:rPr>
          <w:sz w:val="22"/>
          <w:szCs w:val="22"/>
          <w:u w:val="single"/>
        </w:rPr>
        <w:t>programas de protección integral, y restablecer los derechos de los niños, niñas y adolescentes víctimas de explotación sexual</w:t>
      </w:r>
      <w:r>
        <w:rPr>
          <w:sz w:val="22"/>
          <w:szCs w:val="22"/>
        </w:rPr>
        <w:t>.</w:t>
      </w:r>
    </w:p>
    <w:p w14:paraId="25FD9BA0" w14:textId="77777777" w:rsidR="00DC42CA" w:rsidRDefault="00443318">
      <w:pPr>
        <w:spacing w:after="160"/>
        <w:ind w:left="360"/>
        <w:jc w:val="both"/>
        <w:rPr>
          <w:b/>
          <w:sz w:val="22"/>
          <w:szCs w:val="22"/>
        </w:rPr>
      </w:pPr>
      <w:r>
        <w:rPr>
          <w:b/>
          <w:sz w:val="22"/>
          <w:szCs w:val="22"/>
        </w:rPr>
        <w:t>DECRETO 4840 DE 2007 por el cual se reglamentan los artículos 52, 77, 79, 82, 83, 84, 86, 87, 96, 98, 99, 100, 105, 111 y 205 de la Ley 1098 de 2006.</w:t>
      </w:r>
    </w:p>
    <w:p w14:paraId="0D4820F2" w14:textId="77777777" w:rsidR="00DC42CA" w:rsidRDefault="00443318">
      <w:pPr>
        <w:spacing w:after="160"/>
        <w:ind w:left="720"/>
        <w:jc w:val="both"/>
        <w:rPr>
          <w:sz w:val="22"/>
          <w:szCs w:val="22"/>
        </w:rPr>
      </w:pPr>
      <w:r>
        <w:rPr>
          <w:b/>
          <w:sz w:val="22"/>
          <w:szCs w:val="22"/>
        </w:rPr>
        <w:t>Artículo 7°.</w:t>
      </w:r>
      <w:r>
        <w:rPr>
          <w:sz w:val="22"/>
          <w:szCs w:val="22"/>
        </w:rPr>
        <w:t> </w:t>
      </w:r>
    </w:p>
    <w:p w14:paraId="232492E5" w14:textId="77777777" w:rsidR="00DC42CA" w:rsidRDefault="00443318">
      <w:pPr>
        <w:spacing w:after="160"/>
        <w:ind w:left="720"/>
        <w:jc w:val="both"/>
        <w:rPr>
          <w:sz w:val="22"/>
          <w:szCs w:val="22"/>
        </w:rPr>
      </w:pPr>
      <w:r>
        <w:rPr>
          <w:sz w:val="22"/>
          <w:szCs w:val="22"/>
        </w:rPr>
        <w:t>(…) El Defensor de Familia se encargará de prevenir, garantizar y restablecer los derechos de los niños, niñas y adolescentes, en las circunstancias de maltrato, amenaza o vulneración de derechos diferentes de los suscitados en el contexto de la violencia intrafamiliar.</w:t>
      </w:r>
    </w:p>
    <w:p w14:paraId="4D2430C2" w14:textId="77777777" w:rsidR="00DC42CA" w:rsidRDefault="00443318">
      <w:pPr>
        <w:spacing w:after="160"/>
        <w:ind w:left="720"/>
        <w:jc w:val="both"/>
        <w:rPr>
          <w:sz w:val="22"/>
          <w:szCs w:val="22"/>
        </w:rPr>
      </w:pPr>
      <w:r>
        <w:rPr>
          <w:sz w:val="22"/>
          <w:szCs w:val="22"/>
        </w:rPr>
        <w:t>El Comisario de Familia se encargará de prevenir, garantizar, restablecer y reparar los derechos de los niños, niñas, adolescentes y demás miembros de la familia, en las circunstancias de maltrato infantil, amenaza o vulneración de derechos suscitadas en el contexto de la violencia intrafamiliar. (…)</w:t>
      </w:r>
    </w:p>
    <w:p w14:paraId="006F6CF4" w14:textId="77777777" w:rsidR="00DC42CA" w:rsidRDefault="00DC42CA">
      <w:pPr>
        <w:spacing w:after="160"/>
        <w:ind w:left="360"/>
        <w:jc w:val="both"/>
        <w:rPr>
          <w:b/>
          <w:sz w:val="22"/>
          <w:szCs w:val="22"/>
        </w:rPr>
      </w:pPr>
    </w:p>
    <w:p w14:paraId="4DB38463" w14:textId="77777777" w:rsidR="00DC42CA" w:rsidRDefault="00443318">
      <w:pPr>
        <w:numPr>
          <w:ilvl w:val="1"/>
          <w:numId w:val="1"/>
        </w:numPr>
        <w:spacing w:after="160"/>
        <w:rPr>
          <w:b/>
          <w:sz w:val="22"/>
          <w:szCs w:val="22"/>
        </w:rPr>
      </w:pPr>
      <w:r>
        <w:rPr>
          <w:b/>
          <w:sz w:val="22"/>
          <w:szCs w:val="22"/>
        </w:rPr>
        <w:t>Acuerdos</w:t>
      </w:r>
    </w:p>
    <w:p w14:paraId="7AEAA932" w14:textId="77777777" w:rsidR="00DC42CA" w:rsidRDefault="00443318">
      <w:pPr>
        <w:spacing w:after="160"/>
        <w:ind w:left="360"/>
        <w:jc w:val="both"/>
        <w:rPr>
          <w:b/>
          <w:sz w:val="22"/>
          <w:szCs w:val="22"/>
        </w:rPr>
      </w:pPr>
      <w:r>
        <w:rPr>
          <w:b/>
          <w:sz w:val="22"/>
          <w:szCs w:val="22"/>
        </w:rPr>
        <w:t>ACUERDO No. 956 DEL 2024 Por medio del cual se adopta la línea de política pública para prevención al abuso sexual y la explotación sexual de niños, niñas y adolescentes y se conmemora el día para la prevención del abuso sexual contra niñas, niños y adolescente en el distrito capital</w:t>
      </w:r>
    </w:p>
    <w:p w14:paraId="1769E9AA" w14:textId="77777777" w:rsidR="00DC42CA" w:rsidRDefault="00443318">
      <w:pPr>
        <w:spacing w:after="160"/>
        <w:ind w:left="720"/>
        <w:jc w:val="both"/>
        <w:rPr>
          <w:sz w:val="22"/>
          <w:szCs w:val="22"/>
        </w:rPr>
      </w:pPr>
      <w:r>
        <w:rPr>
          <w:b/>
          <w:sz w:val="22"/>
          <w:szCs w:val="22"/>
        </w:rPr>
        <w:t xml:space="preserve">ARTÍCULO 2. OBJETIVOS ESPECÍFICOS. </w:t>
      </w:r>
      <w:r>
        <w:rPr>
          <w:sz w:val="22"/>
          <w:szCs w:val="22"/>
        </w:rPr>
        <w:t>La línea de política pública para la prevención del abuso sexual y la explotación sexual de niños, niñas y adolescentes en el Distrito Capital tendrá como mínimo lo siguiente:</w:t>
      </w:r>
    </w:p>
    <w:p w14:paraId="5535D408" w14:textId="77777777" w:rsidR="00DC42CA" w:rsidRDefault="00443318">
      <w:pPr>
        <w:spacing w:after="160"/>
        <w:ind w:left="720"/>
        <w:jc w:val="both"/>
        <w:rPr>
          <w:sz w:val="22"/>
          <w:szCs w:val="22"/>
        </w:rPr>
      </w:pPr>
      <w:r>
        <w:rPr>
          <w:sz w:val="22"/>
          <w:szCs w:val="22"/>
        </w:rPr>
        <w:t xml:space="preserve">(…) 2. Desarrollar acciones preventivas para garantizar la </w:t>
      </w:r>
      <w:r>
        <w:rPr>
          <w:sz w:val="22"/>
          <w:szCs w:val="22"/>
          <w:u w:val="single"/>
        </w:rPr>
        <w:t>protección integral y reducir los factores de riesgo asociados al abuso y la explotación sexual de niños</w:t>
      </w:r>
      <w:r>
        <w:rPr>
          <w:sz w:val="22"/>
          <w:szCs w:val="22"/>
        </w:rPr>
        <w:t>, niñas y adolescentes, como la promoción de entornos seguros y protectores.</w:t>
      </w:r>
    </w:p>
    <w:p w14:paraId="0D14165E" w14:textId="77777777" w:rsidR="00DC42CA" w:rsidRDefault="00443318">
      <w:pPr>
        <w:spacing w:after="160"/>
        <w:ind w:left="360"/>
        <w:jc w:val="both"/>
        <w:rPr>
          <w:b/>
          <w:sz w:val="22"/>
          <w:szCs w:val="22"/>
        </w:rPr>
      </w:pPr>
      <w:r>
        <w:rPr>
          <w:b/>
          <w:sz w:val="22"/>
          <w:szCs w:val="22"/>
        </w:rPr>
        <w:t xml:space="preserve">Acuerdo 152 de 2005 “Por el cual se modifica el acuerdo </w:t>
      </w:r>
      <w:hyperlink r:id="rId8" w:anchor="0">
        <w:r>
          <w:rPr>
            <w:b/>
            <w:sz w:val="22"/>
            <w:szCs w:val="22"/>
          </w:rPr>
          <w:t>12</w:t>
        </w:r>
      </w:hyperlink>
      <w:r>
        <w:rPr>
          <w:b/>
          <w:sz w:val="22"/>
          <w:szCs w:val="22"/>
        </w:rPr>
        <w:t xml:space="preserve"> de 1998 y se adoptan medidas para la atención integral a víctimas de violencia intrafamiliar y violencia y explotación sexual” </w:t>
      </w:r>
    </w:p>
    <w:p w14:paraId="56AAD75C" w14:textId="77777777" w:rsidR="00DC42CA" w:rsidRDefault="00443318">
      <w:pPr>
        <w:spacing w:after="160"/>
        <w:ind w:left="720"/>
        <w:jc w:val="both"/>
        <w:rPr>
          <w:i/>
          <w:sz w:val="22"/>
          <w:szCs w:val="22"/>
        </w:rPr>
      </w:pPr>
      <w:r>
        <w:rPr>
          <w:b/>
          <w:sz w:val="22"/>
          <w:szCs w:val="22"/>
        </w:rPr>
        <w:t>ARTÍCULO PRIMERO.-</w:t>
      </w:r>
      <w:r>
        <w:rPr>
          <w:sz w:val="22"/>
          <w:szCs w:val="22"/>
        </w:rPr>
        <w:t> Créase el Consejo Distrital para la Atención Integral a Víctimas de la Violencia Intra familiar y Violencia y Explotación Sexual, como cuerpo consultor y asesor encargado de formular políticas que articulen los programas de las entidades responsables en Bogotá D.C</w:t>
      </w:r>
      <w:r>
        <w:rPr>
          <w:i/>
          <w:sz w:val="22"/>
          <w:szCs w:val="22"/>
        </w:rPr>
        <w:t>. </w:t>
      </w:r>
    </w:p>
    <w:p w14:paraId="7314BBA3" w14:textId="77777777" w:rsidR="00DC42CA" w:rsidRDefault="00443318">
      <w:pPr>
        <w:numPr>
          <w:ilvl w:val="1"/>
          <w:numId w:val="1"/>
        </w:numPr>
        <w:spacing w:after="160"/>
        <w:rPr>
          <w:b/>
          <w:sz w:val="22"/>
          <w:szCs w:val="22"/>
        </w:rPr>
      </w:pPr>
      <w:r>
        <w:rPr>
          <w:b/>
          <w:sz w:val="22"/>
          <w:szCs w:val="22"/>
        </w:rPr>
        <w:t>Jurisprudencia</w:t>
      </w:r>
    </w:p>
    <w:p w14:paraId="7D6F4689" w14:textId="77777777" w:rsidR="00DC42CA" w:rsidRDefault="00443318">
      <w:pPr>
        <w:spacing w:after="160"/>
        <w:ind w:left="360"/>
        <w:rPr>
          <w:sz w:val="22"/>
          <w:szCs w:val="22"/>
        </w:rPr>
      </w:pPr>
      <w:r>
        <w:rPr>
          <w:sz w:val="22"/>
          <w:szCs w:val="22"/>
        </w:rPr>
        <w:t xml:space="preserve">A nivel jurisprudencial se ha presentado un sustento doctrinal que ha robustecido la importancia del estado de proteger los derechos de los niños las cuales son: </w:t>
      </w:r>
    </w:p>
    <w:p w14:paraId="30F1EC62" w14:textId="77777777" w:rsidR="00DC42CA" w:rsidRDefault="00443318">
      <w:pPr>
        <w:spacing w:after="160"/>
        <w:ind w:left="360"/>
        <w:jc w:val="both"/>
        <w:rPr>
          <w:b/>
          <w:sz w:val="22"/>
          <w:szCs w:val="22"/>
        </w:rPr>
      </w:pPr>
      <w:r>
        <w:rPr>
          <w:b/>
          <w:sz w:val="22"/>
          <w:szCs w:val="22"/>
        </w:rPr>
        <w:t xml:space="preserve">Sentencia T-301 de 2021 </w:t>
      </w:r>
    </w:p>
    <w:p w14:paraId="4C0633C2" w14:textId="77777777" w:rsidR="00DC42CA" w:rsidRDefault="00443318">
      <w:pPr>
        <w:spacing w:after="160"/>
        <w:ind w:left="720"/>
        <w:jc w:val="both"/>
        <w:rPr>
          <w:sz w:val="22"/>
          <w:szCs w:val="22"/>
        </w:rPr>
      </w:pPr>
      <w:r>
        <w:rPr>
          <w:sz w:val="22"/>
          <w:szCs w:val="22"/>
        </w:rPr>
        <w:t>Indicó que “</w:t>
      </w:r>
      <w:r>
        <w:rPr>
          <w:i/>
          <w:sz w:val="22"/>
          <w:szCs w:val="22"/>
        </w:rPr>
        <w:t>al Estado le corresponde adoptar normas que propendan por su bienestar, asegurarles el mayor nivel de acceso posible a los servicios de asistencia y prever medios para sancionar las conductas que los afecten</w:t>
      </w:r>
      <w:r>
        <w:rPr>
          <w:sz w:val="22"/>
          <w:szCs w:val="22"/>
        </w:rPr>
        <w:t xml:space="preserve">”. </w:t>
      </w:r>
    </w:p>
    <w:p w14:paraId="24FC703F" w14:textId="77777777" w:rsidR="00DC42CA" w:rsidRDefault="00443318">
      <w:pPr>
        <w:spacing w:after="160"/>
        <w:ind w:left="360"/>
        <w:jc w:val="both"/>
        <w:rPr>
          <w:b/>
          <w:sz w:val="22"/>
          <w:szCs w:val="22"/>
        </w:rPr>
      </w:pPr>
      <w:r>
        <w:rPr>
          <w:b/>
          <w:sz w:val="22"/>
          <w:szCs w:val="22"/>
        </w:rPr>
        <w:t xml:space="preserve">Sentencia T-052 de 2022 </w:t>
      </w:r>
    </w:p>
    <w:p w14:paraId="036AE167" w14:textId="77777777" w:rsidR="00DC42CA" w:rsidRDefault="00443318">
      <w:pPr>
        <w:spacing w:after="160"/>
        <w:ind w:left="720"/>
        <w:jc w:val="both"/>
        <w:rPr>
          <w:sz w:val="22"/>
          <w:szCs w:val="22"/>
        </w:rPr>
      </w:pPr>
      <w:r>
        <w:rPr>
          <w:sz w:val="22"/>
          <w:szCs w:val="22"/>
        </w:rPr>
        <w:t>Reitera que se “</w:t>
      </w:r>
      <w:r>
        <w:rPr>
          <w:i/>
          <w:sz w:val="22"/>
          <w:szCs w:val="22"/>
        </w:rPr>
        <w:t>ha enfatizado que todas las autoridades públicas deben respetar el principio del interés superior del menor, lo que implica revisar con detalle las circunstancias jurídicas y fácticas relacionadas con su entorno y desarrollo</w:t>
      </w:r>
      <w:r>
        <w:rPr>
          <w:sz w:val="22"/>
          <w:szCs w:val="22"/>
        </w:rPr>
        <w:t>:</w:t>
      </w:r>
    </w:p>
    <w:p w14:paraId="3655EEF5" w14:textId="77777777" w:rsidR="00DC42CA" w:rsidRDefault="00443318">
      <w:pPr>
        <w:pBdr>
          <w:top w:val="none" w:sz="0" w:space="7" w:color="000000"/>
          <w:left w:val="none" w:sz="0" w:space="7" w:color="000000"/>
          <w:bottom w:val="none" w:sz="0" w:space="7" w:color="000000"/>
          <w:right w:val="none" w:sz="0" w:space="7" w:color="000000"/>
          <w:between w:val="none" w:sz="0" w:space="7" w:color="000000"/>
        </w:pBdr>
        <w:shd w:val="clear" w:color="auto" w:fill="FFFFFF"/>
        <w:ind w:left="720" w:right="60"/>
        <w:jc w:val="both"/>
        <w:rPr>
          <w:i/>
          <w:sz w:val="22"/>
          <w:szCs w:val="22"/>
        </w:rPr>
      </w:pPr>
      <w:r>
        <w:rPr>
          <w:i/>
          <w:sz w:val="22"/>
          <w:szCs w:val="22"/>
        </w:rPr>
        <w:t xml:space="preserve">“Las primeras, constituyen unas pautas normativas dirigidas a materializar el principio pro </w:t>
      </w:r>
      <w:proofErr w:type="spellStart"/>
      <w:r>
        <w:rPr>
          <w:i/>
          <w:sz w:val="22"/>
          <w:szCs w:val="22"/>
        </w:rPr>
        <w:t>infans</w:t>
      </w:r>
      <w:proofErr w:type="spellEnd"/>
      <w:r>
        <w:rPr>
          <w:i/>
          <w:sz w:val="22"/>
          <w:szCs w:val="22"/>
        </w:rPr>
        <w:t>: (i) garantía del desarrollo integral del menor, (ii) garantía de las condiciones para el pleno ejercicio de los derechos fundamentales del menor, (iii) protección ante los riesgos prohibidos, (iv) equilibrio con los derechos de los padres, (v) provisión de un ambiente familiar apto para el desarrollo del menor, y (vi) la necesidad de que existan razones poderosas que justifiquen la intervención del Estado en las relaciones paterno materno filiales. || Las segundas, constituyen aquellos elementos materiales de las relaciones de cada menor de 18 años con su entorno y que deben valorarse con el objeto de dar prevalencia a sus derechos”</w:t>
      </w:r>
    </w:p>
    <w:p w14:paraId="19BCEBDF" w14:textId="77777777" w:rsidR="00DC42CA" w:rsidRDefault="00443318">
      <w:pPr>
        <w:spacing w:after="160"/>
        <w:ind w:left="360"/>
        <w:jc w:val="both"/>
        <w:rPr>
          <w:b/>
          <w:sz w:val="22"/>
          <w:szCs w:val="22"/>
        </w:rPr>
      </w:pPr>
      <w:r>
        <w:rPr>
          <w:b/>
          <w:sz w:val="22"/>
          <w:szCs w:val="22"/>
        </w:rPr>
        <w:t xml:space="preserve">Sentencia SU 191 de 2022 </w:t>
      </w:r>
    </w:p>
    <w:p w14:paraId="7FB18CB2" w14:textId="77777777" w:rsidR="00DC42CA" w:rsidRDefault="00443318">
      <w:pPr>
        <w:pBdr>
          <w:top w:val="none" w:sz="0" w:space="7" w:color="000000"/>
          <w:left w:val="none" w:sz="0" w:space="7" w:color="000000"/>
          <w:bottom w:val="none" w:sz="0" w:space="7" w:color="000000"/>
          <w:right w:val="none" w:sz="0" w:space="7" w:color="000000"/>
          <w:between w:val="none" w:sz="0" w:space="7" w:color="000000"/>
        </w:pBdr>
        <w:shd w:val="clear" w:color="auto" w:fill="FFFFFF"/>
        <w:ind w:left="720" w:right="60"/>
        <w:jc w:val="both"/>
        <w:rPr>
          <w:sz w:val="22"/>
          <w:szCs w:val="22"/>
        </w:rPr>
      </w:pPr>
      <w:r>
        <w:rPr>
          <w:sz w:val="22"/>
          <w:szCs w:val="22"/>
        </w:rPr>
        <w:t>Estipula que “proteger los derechos de los niños, niñas y adolescentes que son víctimas de delitos contra la libertad, integridad y formación sexuales y del delito de incesto; de igual manera, procura proteger a las víctimas sobrevivientes y a la sociedad. En particular la norma se enfoca en los menores de edad y en sus derechos a la dignidad humana y al acceso a la administración de justicia; este último se encuentra ligado directamente a los derechos a obtener verdad, justicia, reparación y no repetición”</w:t>
      </w:r>
    </w:p>
    <w:p w14:paraId="596F7BD4" w14:textId="77777777" w:rsidR="00DC42CA" w:rsidRDefault="00443318">
      <w:pPr>
        <w:spacing w:after="160"/>
        <w:ind w:left="360"/>
        <w:jc w:val="both"/>
        <w:rPr>
          <w:b/>
          <w:sz w:val="22"/>
          <w:szCs w:val="22"/>
        </w:rPr>
      </w:pPr>
      <w:r>
        <w:rPr>
          <w:b/>
          <w:sz w:val="22"/>
          <w:szCs w:val="22"/>
        </w:rPr>
        <w:t xml:space="preserve">Sentencia T-459 de 1998. </w:t>
      </w:r>
    </w:p>
    <w:p w14:paraId="24EE54E6" w14:textId="77777777" w:rsidR="00DC42CA" w:rsidRDefault="00443318">
      <w:pPr>
        <w:spacing w:before="160"/>
        <w:ind w:left="720"/>
        <w:jc w:val="both"/>
        <w:rPr>
          <w:sz w:val="22"/>
          <w:szCs w:val="22"/>
        </w:rPr>
      </w:pPr>
      <w:r>
        <w:rPr>
          <w:sz w:val="22"/>
          <w:szCs w:val="22"/>
        </w:rPr>
        <w:t>DERECHO A LA TRANQUILIDAD-Carácter fundamental por relación con la dignidad humana. Es el derecho a la tranquilidad, inherente a la persona humana, que le permite al individuo desarrollar una vida digna y sosegada. El derecho a la tranquilidad, lo ha dicho esta Sala, asume el carácter de fundamental por su estrecha relación con la dignidad humana que, necesariamente, conlleva a la paz individual la cual es necesaria para vivir adecuadamente. Como derecho inherente a la persona, el derecho a la tranquilidad debe ser protegido por el Estado de tal forma que permita un ambiente propicio para la convivencia humana, de manera que los individuos puedan realizar sus actividades en un ambiente sano y exento de cualquier molestia que tienda a vulnerar la paz y el sosiego.</w:t>
      </w:r>
    </w:p>
    <w:p w14:paraId="663BD012" w14:textId="77777777" w:rsidR="00DC42CA" w:rsidRDefault="00DC42CA">
      <w:pPr>
        <w:spacing w:after="160"/>
        <w:ind w:left="792"/>
        <w:rPr>
          <w:b/>
          <w:sz w:val="22"/>
          <w:szCs w:val="22"/>
        </w:rPr>
      </w:pPr>
    </w:p>
    <w:p w14:paraId="1FAA3E8C" w14:textId="77777777" w:rsidR="00DC42CA" w:rsidRDefault="00443318">
      <w:pPr>
        <w:numPr>
          <w:ilvl w:val="0"/>
          <w:numId w:val="1"/>
        </w:numPr>
        <w:spacing w:after="160"/>
        <w:rPr>
          <w:b/>
          <w:sz w:val="22"/>
          <w:szCs w:val="22"/>
        </w:rPr>
      </w:pPr>
      <w:r>
        <w:rPr>
          <w:b/>
          <w:sz w:val="22"/>
          <w:szCs w:val="22"/>
        </w:rPr>
        <w:t>COMPETENCIA DEL CONCEJO DE BOGOTÁ</w:t>
      </w:r>
    </w:p>
    <w:p w14:paraId="612E4BF0" w14:textId="77777777" w:rsidR="00DC42CA" w:rsidRDefault="00443318">
      <w:pPr>
        <w:numPr>
          <w:ilvl w:val="1"/>
          <w:numId w:val="1"/>
        </w:numPr>
        <w:spacing w:after="160"/>
        <w:rPr>
          <w:b/>
          <w:sz w:val="22"/>
          <w:szCs w:val="22"/>
        </w:rPr>
      </w:pPr>
      <w:r>
        <w:rPr>
          <w:b/>
          <w:sz w:val="22"/>
          <w:szCs w:val="22"/>
        </w:rPr>
        <w:t>Constitución política</w:t>
      </w:r>
    </w:p>
    <w:p w14:paraId="4824102D" w14:textId="77777777" w:rsidR="00DC42CA" w:rsidRDefault="00443318">
      <w:pPr>
        <w:shd w:val="clear" w:color="auto" w:fill="FFFFFF"/>
        <w:spacing w:before="240" w:after="240"/>
        <w:ind w:left="720"/>
        <w:jc w:val="both"/>
        <w:rPr>
          <w:i/>
          <w:sz w:val="22"/>
          <w:szCs w:val="22"/>
        </w:rPr>
      </w:pPr>
      <w:r>
        <w:rPr>
          <w:b/>
          <w:i/>
          <w:sz w:val="22"/>
          <w:szCs w:val="22"/>
        </w:rPr>
        <w:t>“Artículo 313.</w:t>
      </w:r>
      <w:r>
        <w:rPr>
          <w:i/>
          <w:sz w:val="22"/>
          <w:szCs w:val="22"/>
        </w:rPr>
        <w:t xml:space="preserve"> Corresponde a los concejos:</w:t>
      </w:r>
    </w:p>
    <w:p w14:paraId="2A8D6DF5" w14:textId="77777777" w:rsidR="00DC42CA" w:rsidRDefault="00443318">
      <w:pPr>
        <w:shd w:val="clear" w:color="auto" w:fill="FFFFFF"/>
        <w:spacing w:before="240" w:after="240"/>
        <w:ind w:left="720"/>
        <w:jc w:val="both"/>
        <w:rPr>
          <w:i/>
          <w:sz w:val="22"/>
          <w:szCs w:val="22"/>
        </w:rPr>
      </w:pPr>
      <w:r>
        <w:rPr>
          <w:i/>
          <w:sz w:val="22"/>
          <w:szCs w:val="22"/>
        </w:rPr>
        <w:t>1. Reglamentar las funciones y la eficiente prestación de los servicios a cargo del municipio (…)”.</w:t>
      </w:r>
    </w:p>
    <w:p w14:paraId="0EC02128" w14:textId="77777777" w:rsidR="00DC42CA" w:rsidRDefault="00443318">
      <w:pPr>
        <w:numPr>
          <w:ilvl w:val="1"/>
          <w:numId w:val="1"/>
        </w:numPr>
        <w:spacing w:after="160"/>
        <w:rPr>
          <w:b/>
          <w:sz w:val="22"/>
          <w:szCs w:val="22"/>
        </w:rPr>
      </w:pPr>
      <w:bookmarkStart w:id="5" w:name="_heading=h.48gngp39dedj" w:colFirst="0" w:colLast="0"/>
      <w:bookmarkEnd w:id="5"/>
      <w:r>
        <w:rPr>
          <w:b/>
          <w:sz w:val="22"/>
          <w:szCs w:val="22"/>
        </w:rPr>
        <w:t>Decretos</w:t>
      </w:r>
    </w:p>
    <w:p w14:paraId="7BC4A424" w14:textId="77777777" w:rsidR="00DC42CA" w:rsidRDefault="00443318">
      <w:pPr>
        <w:shd w:val="clear" w:color="auto" w:fill="FFFFFF"/>
        <w:spacing w:before="240" w:after="240"/>
        <w:ind w:left="720"/>
        <w:jc w:val="both"/>
        <w:rPr>
          <w:b/>
          <w:sz w:val="22"/>
          <w:szCs w:val="22"/>
        </w:rPr>
      </w:pPr>
      <w:r>
        <w:rPr>
          <w:b/>
          <w:sz w:val="22"/>
          <w:szCs w:val="22"/>
        </w:rPr>
        <w:t>Decreto Ley 1421 De 1993</w:t>
      </w:r>
    </w:p>
    <w:p w14:paraId="41D9E427" w14:textId="77777777" w:rsidR="00DC42CA" w:rsidRDefault="00443318">
      <w:pPr>
        <w:shd w:val="clear" w:color="auto" w:fill="FFFFFF"/>
        <w:spacing w:before="240" w:after="240"/>
        <w:ind w:left="720"/>
        <w:jc w:val="both"/>
        <w:rPr>
          <w:i/>
          <w:sz w:val="22"/>
          <w:szCs w:val="22"/>
        </w:rPr>
      </w:pPr>
      <w:r>
        <w:rPr>
          <w:sz w:val="22"/>
          <w:szCs w:val="22"/>
        </w:rPr>
        <w:t xml:space="preserve">El Concejo Distrital de Bogotá D.C. es competente de conformidad con el artículo 12: </w:t>
      </w:r>
      <w:r>
        <w:rPr>
          <w:i/>
          <w:sz w:val="22"/>
          <w:szCs w:val="22"/>
        </w:rPr>
        <w:t>Corresponde al Concejo Distrital, de conformidad con la Constitución y la ley:</w:t>
      </w:r>
    </w:p>
    <w:p w14:paraId="5F12755F" w14:textId="77777777" w:rsidR="00DC42CA" w:rsidRDefault="00443318">
      <w:pPr>
        <w:shd w:val="clear" w:color="auto" w:fill="FFFFFF"/>
        <w:spacing w:before="240" w:after="240"/>
        <w:ind w:left="1280" w:hanging="280"/>
        <w:jc w:val="both"/>
        <w:rPr>
          <w:i/>
          <w:sz w:val="22"/>
          <w:szCs w:val="22"/>
        </w:rPr>
      </w:pPr>
      <w:r>
        <w:rPr>
          <w:i/>
          <w:sz w:val="22"/>
          <w:szCs w:val="22"/>
        </w:rPr>
        <w:t>1.</w:t>
      </w:r>
      <w:r>
        <w:rPr>
          <w:sz w:val="14"/>
          <w:szCs w:val="14"/>
        </w:rPr>
        <w:t xml:space="preserve">  </w:t>
      </w:r>
      <w:r>
        <w:rPr>
          <w:i/>
          <w:sz w:val="22"/>
          <w:szCs w:val="22"/>
        </w:rPr>
        <w:t>Dictar las normas necesarias para garantizar el adecuado cumplimiento de las funciones y la eficiente prestación de los servicios a cargo del Distrito.</w:t>
      </w:r>
    </w:p>
    <w:p w14:paraId="622DA91B" w14:textId="77777777" w:rsidR="00DC42CA" w:rsidRDefault="00443318">
      <w:pPr>
        <w:shd w:val="clear" w:color="auto" w:fill="FFFFFF"/>
        <w:spacing w:before="240" w:after="240"/>
        <w:ind w:left="1280" w:hanging="280"/>
        <w:jc w:val="both"/>
        <w:rPr>
          <w:i/>
          <w:sz w:val="22"/>
          <w:szCs w:val="22"/>
        </w:rPr>
      </w:pPr>
      <w:r>
        <w:rPr>
          <w:i/>
          <w:sz w:val="22"/>
          <w:szCs w:val="22"/>
        </w:rPr>
        <w:t xml:space="preserve">25. Cumplir las demás funciones que le asignen las disposiciones   vigentes.”. (…)”  </w:t>
      </w:r>
    </w:p>
    <w:p w14:paraId="0CBD6AB8" w14:textId="77777777" w:rsidR="00DC42CA" w:rsidRDefault="00443318">
      <w:pPr>
        <w:shd w:val="clear" w:color="auto" w:fill="FFFFFF"/>
        <w:spacing w:before="240" w:after="240"/>
        <w:ind w:left="720"/>
        <w:jc w:val="both"/>
        <w:rPr>
          <w:sz w:val="22"/>
          <w:szCs w:val="22"/>
        </w:rPr>
      </w:pPr>
      <w:r>
        <w:rPr>
          <w:sz w:val="22"/>
          <w:szCs w:val="22"/>
        </w:rPr>
        <w:t xml:space="preserve">Artículo 13. Iniciativa. Los proyectos de acuerdo pueden ser presentados por los concejales y el alcalde mayor por conducto de sus secretarios, jefes de departamento administrativo o 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 </w:t>
      </w:r>
    </w:p>
    <w:p w14:paraId="59B3DCA0" w14:textId="77777777" w:rsidR="00DC42CA" w:rsidRDefault="00443318">
      <w:pPr>
        <w:shd w:val="clear" w:color="auto" w:fill="FFFFFF"/>
        <w:spacing w:before="240" w:after="240"/>
        <w:ind w:left="720"/>
        <w:jc w:val="both"/>
        <w:rPr>
          <w:sz w:val="22"/>
          <w:szCs w:val="22"/>
        </w:rPr>
      </w:pPr>
      <w:r>
        <w:rPr>
          <w:sz w:val="22"/>
          <w:szCs w:val="22"/>
        </w:rPr>
        <w:t>Sólo podrán ser dictados o reformados a iniciativa del alcalde los acuerdos a que se refieren los ordinales 2, 3, 4, 5, 8, 9, 14, 16, 17 y 21 del artículo anterior. Igualmente, sólo podrán ser dictados o reformados a iniciativa del alcalde los acuerdos que decreten inversiones, ordenen servicios a cargo del Distrito, autoricen enajenar sus bienes y dispongan exenciones tributarias o cedan sus rentas. El Concejo podrá introducir modificaciones a los proyectos presentados por el Alcalde.</w:t>
      </w:r>
    </w:p>
    <w:p w14:paraId="6423C069" w14:textId="77777777" w:rsidR="00DC42CA" w:rsidRDefault="00443318">
      <w:pPr>
        <w:shd w:val="clear" w:color="auto" w:fill="FFFFFF"/>
        <w:spacing w:before="240" w:after="240"/>
        <w:ind w:left="720"/>
        <w:jc w:val="both"/>
        <w:rPr>
          <w:sz w:val="22"/>
          <w:szCs w:val="22"/>
        </w:rPr>
      </w:pPr>
      <w:r>
        <w:rPr>
          <w:sz w:val="22"/>
          <w:szCs w:val="22"/>
        </w:rPr>
        <w:t xml:space="preserve">NOTA 1: El Consejo de Estado, mediante Fallo </w:t>
      </w:r>
      <w:hyperlink r:id="rId9">
        <w:r>
          <w:rPr>
            <w:sz w:val="22"/>
            <w:szCs w:val="22"/>
          </w:rPr>
          <w:t>2651</w:t>
        </w:r>
      </w:hyperlink>
      <w:r>
        <w:rPr>
          <w:sz w:val="22"/>
          <w:szCs w:val="22"/>
        </w:rPr>
        <w:t xml:space="preserve"> del 25 de octubre de 1993, M.P. Miguel González Rodríguez, decretó la suspensión temporal del párrafo 2° en cuanto incluye los ordinales 3, 8, 14, y 21 del artículo 12 y la frase subrayada.</w:t>
      </w:r>
    </w:p>
    <w:p w14:paraId="4A9977A0" w14:textId="77777777" w:rsidR="00DC42CA" w:rsidRDefault="00443318">
      <w:pPr>
        <w:shd w:val="clear" w:color="auto" w:fill="FFFFFF"/>
        <w:spacing w:before="240" w:after="240"/>
        <w:ind w:left="720"/>
        <w:jc w:val="both"/>
        <w:rPr>
          <w:sz w:val="22"/>
          <w:szCs w:val="22"/>
        </w:rPr>
      </w:pPr>
      <w:r>
        <w:rPr>
          <w:sz w:val="22"/>
          <w:szCs w:val="22"/>
        </w:rPr>
        <w:t xml:space="preserve">NOTA 2: El Consejo de Estado, mediante Auto del 10 de marzo de 1994, M.P. Miguel González Rodríguez, levantó la suspensión provisional decretada mediante Fallo </w:t>
      </w:r>
      <w:hyperlink r:id="rId10">
        <w:r>
          <w:rPr>
            <w:sz w:val="22"/>
            <w:szCs w:val="22"/>
          </w:rPr>
          <w:t>2651</w:t>
        </w:r>
      </w:hyperlink>
      <w:r>
        <w:rPr>
          <w:sz w:val="22"/>
          <w:szCs w:val="22"/>
        </w:rPr>
        <w:t xml:space="preserve"> del 25 de octubre DE 1993.</w:t>
      </w:r>
    </w:p>
    <w:p w14:paraId="7C8F1C26" w14:textId="77777777" w:rsidR="00DC42CA" w:rsidRDefault="00443318">
      <w:pPr>
        <w:shd w:val="clear" w:color="auto" w:fill="FFFFFF"/>
        <w:spacing w:before="240" w:after="240"/>
        <w:ind w:left="720"/>
        <w:jc w:val="both"/>
        <w:rPr>
          <w:sz w:val="22"/>
          <w:szCs w:val="22"/>
        </w:rPr>
      </w:pPr>
      <w:r>
        <w:rPr>
          <w:sz w:val="22"/>
          <w:szCs w:val="22"/>
        </w:rPr>
        <w:t xml:space="preserve">NOTA 3: El Consejo de Estado, mediante Fallo </w:t>
      </w:r>
      <w:hyperlink r:id="rId11">
        <w:r>
          <w:rPr>
            <w:sz w:val="22"/>
            <w:szCs w:val="22"/>
          </w:rPr>
          <w:t>13</w:t>
        </w:r>
      </w:hyperlink>
      <w:r>
        <w:rPr>
          <w:sz w:val="22"/>
          <w:szCs w:val="22"/>
        </w:rPr>
        <w:t xml:space="preserve"> del 22 de mayo de 1997 y Sentencia del 2 de diciembre de 1997, M.P. Mario Alirio Méndez, deniega la suspensión provisional.</w:t>
      </w:r>
    </w:p>
    <w:p w14:paraId="1937D4A5" w14:textId="77777777" w:rsidR="00DC42CA" w:rsidRDefault="00443318">
      <w:pPr>
        <w:shd w:val="clear" w:color="auto" w:fill="FFFFFF"/>
        <w:spacing w:before="240" w:after="240"/>
        <w:jc w:val="both"/>
        <w:rPr>
          <w:sz w:val="22"/>
          <w:szCs w:val="22"/>
        </w:rPr>
      </w:pPr>
      <w:r>
        <w:rPr>
          <w:sz w:val="22"/>
          <w:szCs w:val="22"/>
        </w:rPr>
        <w:t xml:space="preserve"> </w:t>
      </w:r>
      <w:r>
        <w:rPr>
          <w:sz w:val="22"/>
          <w:szCs w:val="22"/>
        </w:rPr>
        <w:tab/>
        <w:t>Artículo 18. Prohibiciones. Al Concejo le está prohibido:</w:t>
      </w:r>
    </w:p>
    <w:p w14:paraId="0DE57491" w14:textId="77777777" w:rsidR="00DC42CA" w:rsidRDefault="00443318">
      <w:pPr>
        <w:shd w:val="clear" w:color="auto" w:fill="FFFFFF"/>
        <w:spacing w:before="240" w:after="240"/>
        <w:ind w:left="720"/>
        <w:jc w:val="both"/>
        <w:rPr>
          <w:sz w:val="22"/>
          <w:szCs w:val="22"/>
        </w:rPr>
      </w:pPr>
      <w:r>
        <w:rPr>
          <w:sz w:val="22"/>
          <w:szCs w:val="22"/>
        </w:rPr>
        <w:t xml:space="preserve"> 1. Inmiscuirse por cualquier medio en asuntos de competencia privativa de otras autoridades (…)</w:t>
      </w:r>
    </w:p>
    <w:p w14:paraId="36B5A21D" w14:textId="77777777" w:rsidR="00DC42CA" w:rsidRDefault="00443318">
      <w:pPr>
        <w:shd w:val="clear" w:color="auto" w:fill="FFFFFF"/>
        <w:spacing w:before="240" w:after="240"/>
        <w:ind w:left="720"/>
        <w:jc w:val="both"/>
        <w:rPr>
          <w:b/>
          <w:sz w:val="22"/>
          <w:szCs w:val="22"/>
        </w:rPr>
      </w:pPr>
      <w:r>
        <w:rPr>
          <w:sz w:val="22"/>
          <w:szCs w:val="22"/>
        </w:rPr>
        <w:t xml:space="preserve"> 5. Tomar parte en la tramitación o decisión de asuntos que no deba resolver el Concejo mismo. Esta prohibición se extiende a los miembros de la Corporación, y (…)”</w:t>
      </w:r>
    </w:p>
    <w:p w14:paraId="7118F84A" w14:textId="77777777" w:rsidR="00DC42CA" w:rsidRDefault="00443318">
      <w:pPr>
        <w:numPr>
          <w:ilvl w:val="0"/>
          <w:numId w:val="1"/>
        </w:numPr>
        <w:spacing w:after="160"/>
        <w:rPr>
          <w:b/>
          <w:sz w:val="22"/>
          <w:szCs w:val="22"/>
        </w:rPr>
      </w:pPr>
      <w:r>
        <w:rPr>
          <w:b/>
          <w:sz w:val="22"/>
          <w:szCs w:val="22"/>
        </w:rPr>
        <w:t>IMPACTO FISCAL</w:t>
      </w:r>
    </w:p>
    <w:p w14:paraId="65FA3334" w14:textId="77777777" w:rsidR="00DC42CA" w:rsidRDefault="00443318">
      <w:pPr>
        <w:shd w:val="clear" w:color="auto" w:fill="FFFFFF"/>
        <w:spacing w:before="240" w:after="240"/>
        <w:jc w:val="both"/>
        <w:rPr>
          <w:rFonts w:ascii="Times New Roman" w:eastAsia="Times New Roman" w:hAnsi="Times New Roman" w:cs="Times New Roman"/>
          <w:color w:val="181717"/>
          <w:sz w:val="22"/>
          <w:szCs w:val="22"/>
        </w:rPr>
      </w:pPr>
      <w:r>
        <w:rPr>
          <w:sz w:val="22"/>
          <w:szCs w:val="22"/>
        </w:rPr>
        <w:t>De conformidad con el artículo 7° de la Ley 819 de 2003, establece lo siguiente: Análisis del impacto fiscal de las normas. En todo momento, el impacto fiscal de cualquier proyecto de ley, ordenanza o acuerdo, que ordene gasto o que otorgue beneficios tributarios, deberá hacerse explícito y deberá ser compatible con el Marco Fiscal de Mediano Plazo. La presente iniciativa no genera impacto fiscal que implique una modificación en el marco fiscal de mediano plazo, toda vez que no se incrementará el Presupuesto del Distrito, ni ocasionará la creación de una nueva fuente de financiación.</w:t>
      </w:r>
    </w:p>
    <w:p w14:paraId="4A8B498D" w14:textId="77777777" w:rsidR="00DC42CA" w:rsidRDefault="00DC42CA">
      <w:pPr>
        <w:pBdr>
          <w:top w:val="none" w:sz="0" w:space="0" w:color="000000"/>
          <w:left w:val="none" w:sz="0" w:space="0" w:color="000000"/>
          <w:bottom w:val="none" w:sz="0" w:space="0" w:color="000000"/>
          <w:right w:val="none" w:sz="0" w:space="0" w:color="000000"/>
          <w:between w:val="none" w:sz="0" w:space="0" w:color="000000"/>
        </w:pBdr>
        <w:jc w:val="both"/>
        <w:rPr>
          <w:i/>
          <w:sz w:val="22"/>
          <w:szCs w:val="22"/>
        </w:rPr>
      </w:pPr>
    </w:p>
    <w:p w14:paraId="5C918322" w14:textId="77777777" w:rsidR="00DC42CA" w:rsidRDefault="00443318">
      <w:pPr>
        <w:pBdr>
          <w:top w:val="none" w:sz="0" w:space="0" w:color="000000"/>
          <w:left w:val="none" w:sz="0" w:space="0" w:color="000000"/>
          <w:bottom w:val="none" w:sz="0" w:space="0" w:color="000000"/>
          <w:right w:val="none" w:sz="0" w:space="0" w:color="000000"/>
          <w:between w:val="none" w:sz="0" w:space="0" w:color="000000"/>
        </w:pBdr>
        <w:jc w:val="both"/>
        <w:rPr>
          <w:i/>
          <w:sz w:val="22"/>
          <w:szCs w:val="22"/>
        </w:rPr>
      </w:pPr>
      <w:r>
        <w:rPr>
          <w:sz w:val="22"/>
          <w:szCs w:val="22"/>
        </w:rPr>
        <w:t>Por lo anterior, dentro del Plan Distrital de Desarrollo 2024 - 2027 quedó establecido en el 10.6. Programa 12. Bogotá cuida a su gente, establece que</w:t>
      </w:r>
      <w:r>
        <w:rPr>
          <w:i/>
          <w:sz w:val="22"/>
          <w:szCs w:val="22"/>
        </w:rPr>
        <w:t xml:space="preserve"> se coordinarán acciones encaminadas a prevenir y atender a las víctimas de violencia en el interior de la familia, el abuso y explotación sexual en NNA, con énfasis en violencia sexual en el contexto familiar, las cuales se articularán con la Estrategia País de la Policía Nacional y la política pública de prevención del abuso sexual infantil.</w:t>
      </w:r>
    </w:p>
    <w:p w14:paraId="5560922E" w14:textId="77777777" w:rsidR="00DC42CA" w:rsidRDefault="00DC42CA">
      <w:pPr>
        <w:pBdr>
          <w:top w:val="none" w:sz="0" w:space="0" w:color="000000"/>
          <w:left w:val="none" w:sz="0" w:space="0" w:color="000000"/>
          <w:bottom w:val="none" w:sz="0" w:space="0" w:color="000000"/>
          <w:right w:val="none" w:sz="0" w:space="0" w:color="000000"/>
          <w:between w:val="none" w:sz="0" w:space="0" w:color="000000"/>
        </w:pBdr>
        <w:jc w:val="both"/>
        <w:rPr>
          <w:sz w:val="22"/>
          <w:szCs w:val="22"/>
        </w:rPr>
      </w:pPr>
    </w:p>
    <w:p w14:paraId="74D4DEF3" w14:textId="77777777" w:rsidR="00DC42CA" w:rsidRDefault="00443318">
      <w:pPr>
        <w:jc w:val="both"/>
        <w:rPr>
          <w:sz w:val="22"/>
          <w:szCs w:val="22"/>
        </w:rPr>
      </w:pPr>
      <w:r>
        <w:rPr>
          <w:sz w:val="22"/>
          <w:szCs w:val="22"/>
        </w:rPr>
        <w:t>Por lo anterior, los gastos que genere la presente iniciativa se entenderán incluidos en los presupuestos y en el Plan Operativo Anual de Inversión de las entidades competentes. Es relevante mencionar, para el caso en concreto, que la Sentencia C-911 de 2007 de la Corte Constitucional puntualizó que el impacto fiscal de las normas no puede convertirse en óbice, para que las corporaciones públicas ejerzan su función legislativa y normativa.</w:t>
      </w:r>
    </w:p>
    <w:p w14:paraId="257A143A" w14:textId="77777777" w:rsidR="00DC42CA" w:rsidRDefault="00443318">
      <w:pPr>
        <w:spacing w:after="160"/>
        <w:jc w:val="center"/>
        <w:rPr>
          <w:sz w:val="22"/>
          <w:szCs w:val="22"/>
        </w:rPr>
      </w:pPr>
      <w:r>
        <w:rPr>
          <w:sz w:val="22"/>
          <w:szCs w:val="22"/>
        </w:rPr>
        <w:t xml:space="preserve"> </w:t>
      </w:r>
    </w:p>
    <w:p w14:paraId="5766C9F7" w14:textId="77777777" w:rsidR="00DC42CA" w:rsidRDefault="00443318">
      <w:pPr>
        <w:spacing w:after="160"/>
        <w:rPr>
          <w:sz w:val="22"/>
          <w:szCs w:val="22"/>
        </w:rPr>
      </w:pPr>
      <w:r>
        <w:rPr>
          <w:sz w:val="22"/>
          <w:szCs w:val="22"/>
        </w:rPr>
        <w:t xml:space="preserve">Atentamente, </w:t>
      </w:r>
    </w:p>
    <w:p w14:paraId="1D5EDADB" w14:textId="77777777" w:rsidR="00DC42CA" w:rsidRDefault="00DC42CA">
      <w:pPr>
        <w:spacing w:after="160"/>
        <w:rPr>
          <w:sz w:val="22"/>
          <w:szCs w:val="22"/>
        </w:rPr>
      </w:pPr>
    </w:p>
    <w:p w14:paraId="5AFEBA08" w14:textId="77777777" w:rsidR="00DC42CA" w:rsidRDefault="00443318">
      <w:pPr>
        <w:spacing w:after="160"/>
        <w:jc w:val="center"/>
        <w:rPr>
          <w:b/>
          <w:sz w:val="22"/>
          <w:szCs w:val="22"/>
        </w:rPr>
      </w:pPr>
      <w:r>
        <w:rPr>
          <w:b/>
          <w:sz w:val="22"/>
          <w:szCs w:val="22"/>
        </w:rPr>
        <w:t>BANCADA PARTIDO POLÍTICO MIRA</w:t>
      </w:r>
    </w:p>
    <w:p w14:paraId="7933A0C4" w14:textId="6E51164F" w:rsidR="00DC42CA" w:rsidRDefault="00507C56">
      <w:pPr>
        <w:spacing w:after="160"/>
        <w:rPr>
          <w:noProof/>
          <w:sz w:val="22"/>
          <w:szCs w:val="22"/>
          <w:lang w:eastAsia="es-CO"/>
        </w:rPr>
      </w:pPr>
      <w:r>
        <w:rPr>
          <w:sz w:val="22"/>
          <w:szCs w:val="22"/>
        </w:rPr>
        <w:t xml:space="preserve">                                                 </w:t>
      </w:r>
    </w:p>
    <w:p w14:paraId="37D1C64B" w14:textId="26DEC493" w:rsidR="00443318" w:rsidRDefault="00443318">
      <w:pPr>
        <w:spacing w:after="160"/>
        <w:rPr>
          <w:noProof/>
          <w:sz w:val="22"/>
          <w:szCs w:val="22"/>
          <w:lang w:eastAsia="es-CO"/>
        </w:rPr>
      </w:pPr>
    </w:p>
    <w:p w14:paraId="4B280368" w14:textId="77777777" w:rsidR="00443318" w:rsidRDefault="00443318">
      <w:pPr>
        <w:spacing w:after="160"/>
        <w:rPr>
          <w:sz w:val="22"/>
          <w:szCs w:val="22"/>
        </w:rPr>
      </w:pPr>
    </w:p>
    <w:p w14:paraId="4CAB7391" w14:textId="77777777" w:rsidR="00DC42CA" w:rsidRDefault="00443318">
      <w:pPr>
        <w:jc w:val="center"/>
        <w:rPr>
          <w:b/>
          <w:sz w:val="22"/>
          <w:szCs w:val="22"/>
        </w:rPr>
      </w:pPr>
      <w:r>
        <w:rPr>
          <w:b/>
          <w:sz w:val="22"/>
          <w:szCs w:val="22"/>
        </w:rPr>
        <w:t xml:space="preserve">SAMIR BEDOYA PIRAQUIVE </w:t>
      </w:r>
      <w:r>
        <w:rPr>
          <w:b/>
          <w:sz w:val="22"/>
          <w:szCs w:val="22"/>
        </w:rPr>
        <w:tab/>
      </w:r>
      <w:r>
        <w:rPr>
          <w:b/>
          <w:sz w:val="22"/>
          <w:szCs w:val="22"/>
        </w:rPr>
        <w:tab/>
        <w:t>FABIÁN ANDRÉS PUENTES SIERRA</w:t>
      </w:r>
    </w:p>
    <w:p w14:paraId="687D5EF6" w14:textId="77777777" w:rsidR="00DC42CA" w:rsidRDefault="00443318">
      <w:pPr>
        <w:rPr>
          <w:sz w:val="22"/>
          <w:szCs w:val="22"/>
        </w:rPr>
      </w:pPr>
      <w:r>
        <w:rPr>
          <w:sz w:val="22"/>
          <w:szCs w:val="22"/>
        </w:rPr>
        <w:t xml:space="preserve">            Concejal de Bogotá</w:t>
      </w:r>
      <w:r>
        <w:rPr>
          <w:sz w:val="22"/>
          <w:szCs w:val="22"/>
        </w:rPr>
        <w:tab/>
      </w:r>
      <w:r>
        <w:rPr>
          <w:sz w:val="22"/>
          <w:szCs w:val="22"/>
        </w:rPr>
        <w:tab/>
      </w:r>
      <w:r>
        <w:rPr>
          <w:sz w:val="22"/>
          <w:szCs w:val="22"/>
        </w:rPr>
        <w:tab/>
      </w:r>
      <w:r>
        <w:rPr>
          <w:sz w:val="22"/>
          <w:szCs w:val="22"/>
        </w:rPr>
        <w:tab/>
        <w:t>Concejal de Bogotá</w:t>
      </w:r>
    </w:p>
    <w:p w14:paraId="2CB0E2AD" w14:textId="77777777" w:rsidR="00DC42CA" w:rsidRDefault="00443318">
      <w:pPr>
        <w:ind w:left="720" w:firstLine="720"/>
        <w:rPr>
          <w:sz w:val="22"/>
          <w:szCs w:val="22"/>
        </w:rPr>
      </w:pPr>
      <w:r>
        <w:rPr>
          <w:sz w:val="22"/>
          <w:szCs w:val="22"/>
        </w:rPr>
        <w:t>Vocero</w:t>
      </w:r>
    </w:p>
    <w:p w14:paraId="18F4E27D" w14:textId="77777777" w:rsidR="00DC42CA" w:rsidRDefault="00DC42CA">
      <w:pPr>
        <w:spacing w:after="160"/>
        <w:jc w:val="center"/>
        <w:rPr>
          <w:sz w:val="22"/>
          <w:szCs w:val="22"/>
          <w:highlight w:val="yellow"/>
        </w:rPr>
      </w:pPr>
    </w:p>
    <w:p w14:paraId="05A18E82" w14:textId="77777777" w:rsidR="00DC42CA" w:rsidRDefault="00DC42CA">
      <w:pPr>
        <w:spacing w:after="160"/>
        <w:jc w:val="center"/>
        <w:rPr>
          <w:sz w:val="22"/>
          <w:szCs w:val="22"/>
          <w:highlight w:val="yellow"/>
        </w:rPr>
      </w:pPr>
    </w:p>
    <w:p w14:paraId="62B6A3E7" w14:textId="77777777" w:rsidR="00DC42CA" w:rsidRDefault="00DC42CA">
      <w:pPr>
        <w:spacing w:after="160"/>
        <w:jc w:val="center"/>
        <w:rPr>
          <w:sz w:val="22"/>
          <w:szCs w:val="22"/>
          <w:highlight w:val="yellow"/>
        </w:rPr>
      </w:pPr>
    </w:p>
    <w:p w14:paraId="13BABF3F" w14:textId="77777777" w:rsidR="00DC42CA" w:rsidRDefault="00DC42CA">
      <w:pPr>
        <w:spacing w:after="160"/>
        <w:jc w:val="center"/>
        <w:rPr>
          <w:sz w:val="22"/>
          <w:szCs w:val="22"/>
          <w:highlight w:val="yellow"/>
        </w:rPr>
      </w:pPr>
    </w:p>
    <w:p w14:paraId="7E477DB1" w14:textId="77777777" w:rsidR="00DC42CA" w:rsidRDefault="00DC42CA">
      <w:pPr>
        <w:spacing w:after="160"/>
        <w:jc w:val="center"/>
        <w:rPr>
          <w:sz w:val="22"/>
          <w:szCs w:val="22"/>
          <w:highlight w:val="yellow"/>
        </w:rPr>
      </w:pPr>
    </w:p>
    <w:p w14:paraId="17ADFD25" w14:textId="46DC958D" w:rsidR="00DC42CA" w:rsidRDefault="00443318">
      <w:pPr>
        <w:spacing w:after="160"/>
        <w:jc w:val="center"/>
        <w:rPr>
          <w:b/>
          <w:sz w:val="22"/>
          <w:szCs w:val="22"/>
        </w:rPr>
      </w:pPr>
      <w:r>
        <w:rPr>
          <w:b/>
          <w:sz w:val="22"/>
          <w:szCs w:val="22"/>
        </w:rPr>
        <w:t>PROYECTO DE ACUERDO Nº ____ DE 2025</w:t>
      </w:r>
    </w:p>
    <w:p w14:paraId="08D52214" w14:textId="77777777" w:rsidR="00DC42CA" w:rsidRDefault="00443318">
      <w:pPr>
        <w:spacing w:after="160"/>
        <w:jc w:val="center"/>
        <w:rPr>
          <w:b/>
          <w:sz w:val="22"/>
          <w:szCs w:val="22"/>
        </w:rPr>
      </w:pPr>
      <w:r>
        <w:rPr>
          <w:b/>
          <w:sz w:val="22"/>
          <w:szCs w:val="22"/>
        </w:rPr>
        <w:t>“Por medio del cual se establecen lineamientos para garantizar las MEDIDAS DE PROTECCIÓN INMEDIATA destinadas a salvaguardar los derechos fundamentales de los niños, niñas y adolescentes que sean víctimas o presuntas víctimas de abuso sexual o de explotación sexual comercial de niños, niñas y adolescentes (ESCNNA).”</w:t>
      </w:r>
    </w:p>
    <w:p w14:paraId="7388FE21" w14:textId="77777777" w:rsidR="00DC42CA" w:rsidRDefault="00443318">
      <w:pPr>
        <w:spacing w:after="160"/>
        <w:jc w:val="center"/>
        <w:rPr>
          <w:b/>
          <w:sz w:val="22"/>
          <w:szCs w:val="22"/>
        </w:rPr>
      </w:pPr>
      <w:r>
        <w:rPr>
          <w:b/>
          <w:sz w:val="22"/>
          <w:szCs w:val="22"/>
        </w:rPr>
        <w:t>EL CONCEJO DE BOGOTÁ D. C.</w:t>
      </w:r>
    </w:p>
    <w:p w14:paraId="698A1FE9" w14:textId="77777777" w:rsidR="00DC42CA" w:rsidRDefault="00443318">
      <w:pPr>
        <w:spacing w:after="160"/>
        <w:jc w:val="both"/>
        <w:rPr>
          <w:sz w:val="22"/>
          <w:szCs w:val="22"/>
        </w:rPr>
      </w:pPr>
      <w:r>
        <w:rPr>
          <w:sz w:val="22"/>
          <w:szCs w:val="22"/>
        </w:rPr>
        <w:t>En ejercicio de sus atribuciones constitucionales y legales, en especial las que le confieren el artículo 12 de la Ley 1421 de 2003 y la Constitución Política de 1991 en el artículo 313 numeral 1.</w:t>
      </w:r>
    </w:p>
    <w:p w14:paraId="72F72B72" w14:textId="77777777" w:rsidR="00DC42CA" w:rsidRDefault="00443318">
      <w:pPr>
        <w:spacing w:after="160"/>
        <w:jc w:val="center"/>
        <w:rPr>
          <w:b/>
          <w:sz w:val="22"/>
          <w:szCs w:val="22"/>
        </w:rPr>
      </w:pPr>
      <w:r>
        <w:rPr>
          <w:sz w:val="22"/>
          <w:szCs w:val="22"/>
        </w:rPr>
        <w:t xml:space="preserve"> </w:t>
      </w:r>
      <w:r>
        <w:rPr>
          <w:b/>
          <w:sz w:val="22"/>
          <w:szCs w:val="22"/>
        </w:rPr>
        <w:t>ACUERDA:</w:t>
      </w:r>
    </w:p>
    <w:p w14:paraId="0F4AB3A5" w14:textId="77777777" w:rsidR="00DC42CA" w:rsidRDefault="00443318">
      <w:pPr>
        <w:spacing w:after="160"/>
        <w:jc w:val="both"/>
        <w:rPr>
          <w:sz w:val="22"/>
          <w:szCs w:val="22"/>
        </w:rPr>
      </w:pPr>
      <w:r>
        <w:rPr>
          <w:b/>
          <w:sz w:val="22"/>
          <w:szCs w:val="22"/>
        </w:rPr>
        <w:t>Artículo 1. Objeto</w:t>
      </w:r>
      <w:r>
        <w:rPr>
          <w:sz w:val="22"/>
          <w:szCs w:val="22"/>
        </w:rPr>
        <w:t xml:space="preserve">:  Establecer lineamientos para garantizar las </w:t>
      </w:r>
      <w:r>
        <w:rPr>
          <w:b/>
          <w:sz w:val="22"/>
          <w:szCs w:val="22"/>
        </w:rPr>
        <w:t>MEDIDAS DE PROTECCIÓN INMEDIATA</w:t>
      </w:r>
      <w:r>
        <w:rPr>
          <w:sz w:val="22"/>
          <w:szCs w:val="22"/>
        </w:rPr>
        <w:t xml:space="preserve"> destinadas a salvaguardar los derechos fundamentales de los niños, niñas y adolescentes que sean víctimas o presuntas víctimas de abuso sexual o de explotación sexual comercial de niños, niñas y adolescentes (ESCNNA). Estos lineamientos buscan garantizar su integridad física y emocional, así como su permanencia en sus entornos familiares, escolares o comunitarios, evitando su revictimización y asegurando su bienestar integral.</w:t>
      </w:r>
    </w:p>
    <w:p w14:paraId="3FDA84C0" w14:textId="77777777" w:rsidR="00DC42CA" w:rsidRDefault="00443318">
      <w:pPr>
        <w:spacing w:after="160"/>
        <w:jc w:val="both"/>
        <w:rPr>
          <w:sz w:val="22"/>
          <w:szCs w:val="22"/>
        </w:rPr>
      </w:pPr>
      <w:r>
        <w:rPr>
          <w:b/>
          <w:sz w:val="22"/>
          <w:szCs w:val="22"/>
        </w:rPr>
        <w:t>Artículo 2. Medidas de Protección Inmediata</w:t>
      </w:r>
      <w:r>
        <w:rPr>
          <w:sz w:val="22"/>
          <w:szCs w:val="22"/>
        </w:rPr>
        <w:t xml:space="preserve">: Son las acciones que deben ser adoptadas de manera urgente y prioritaria por las autoridades y entidades competentes, con el fin de proteger a los niños, niñas y adolescentes que sean víctimas o presuntas víctimas de abuso sexual o ESCNNA. Estas medidas deberán ser implementadas de manera inmediata, priorizando el interés superior del niño y asegurando su protección integral. </w:t>
      </w:r>
    </w:p>
    <w:p w14:paraId="3D23A25A" w14:textId="77777777" w:rsidR="00DC42CA" w:rsidRDefault="00443318">
      <w:pPr>
        <w:jc w:val="both"/>
        <w:rPr>
          <w:sz w:val="22"/>
          <w:szCs w:val="22"/>
        </w:rPr>
      </w:pPr>
      <w:r>
        <w:rPr>
          <w:b/>
          <w:sz w:val="22"/>
          <w:szCs w:val="22"/>
        </w:rPr>
        <w:t>Artículo 3. Principios:</w:t>
      </w:r>
      <w:r>
        <w:rPr>
          <w:sz w:val="22"/>
          <w:szCs w:val="22"/>
        </w:rPr>
        <w:t xml:space="preserve"> Las Medidas de Protección Inmediata (MPI) se fundamentan en los siguientes principios, conforme a lo establecido en la Ley 1098 de 2006 - Código de Infancia y Adolescencia:</w:t>
      </w:r>
    </w:p>
    <w:p w14:paraId="1B18200D" w14:textId="77777777" w:rsidR="00DC42CA" w:rsidRDefault="00DC42CA">
      <w:pPr>
        <w:jc w:val="both"/>
        <w:rPr>
          <w:sz w:val="22"/>
          <w:szCs w:val="22"/>
        </w:rPr>
      </w:pPr>
    </w:p>
    <w:p w14:paraId="079265E6" w14:textId="77777777" w:rsidR="00DC42CA" w:rsidRDefault="00443318">
      <w:pPr>
        <w:numPr>
          <w:ilvl w:val="0"/>
          <w:numId w:val="4"/>
        </w:numPr>
        <w:pBdr>
          <w:top w:val="nil"/>
          <w:left w:val="nil"/>
          <w:bottom w:val="nil"/>
          <w:right w:val="nil"/>
          <w:between w:val="nil"/>
        </w:pBdr>
        <w:jc w:val="both"/>
        <w:rPr>
          <w:sz w:val="22"/>
          <w:szCs w:val="22"/>
        </w:rPr>
      </w:pPr>
      <w:r>
        <w:rPr>
          <w:b/>
          <w:sz w:val="22"/>
          <w:szCs w:val="22"/>
        </w:rPr>
        <w:t>Protección integral.</w:t>
      </w:r>
      <w:r>
        <w:rPr>
          <w:sz w:val="22"/>
          <w:szCs w:val="22"/>
        </w:rPr>
        <w:t xml:space="preserve"> Se entiende por protección integral de los niños, niñas y adolescentes el reconocimiento como sujetos de derechos, la garantía y cumplimiento de los mismos, la prevención de su amenaza o vulneración y la seguridad de su restablecimiento inmediato en desarrollo del principio del interés superior. La protección integral se materializa en el conjunto de políticas, planes, programas y acciones que se ejecuten en los ámbitos nacional, departamental, distrital y municipal con la correspondiente asignación de recursos financieros, físicos y humanos.</w:t>
      </w:r>
    </w:p>
    <w:p w14:paraId="165BCD7F" w14:textId="77777777" w:rsidR="00DC42CA" w:rsidRDefault="00443318">
      <w:pPr>
        <w:numPr>
          <w:ilvl w:val="0"/>
          <w:numId w:val="4"/>
        </w:numPr>
        <w:pBdr>
          <w:top w:val="nil"/>
          <w:left w:val="nil"/>
          <w:bottom w:val="nil"/>
          <w:right w:val="nil"/>
          <w:between w:val="nil"/>
        </w:pBdr>
        <w:jc w:val="both"/>
        <w:rPr>
          <w:sz w:val="22"/>
          <w:szCs w:val="22"/>
        </w:rPr>
      </w:pPr>
      <w:r>
        <w:rPr>
          <w:b/>
          <w:sz w:val="22"/>
          <w:szCs w:val="22"/>
        </w:rPr>
        <w:t xml:space="preserve">Interés superior de los niños, las niñas y los adolescentes. </w:t>
      </w:r>
      <w:r>
        <w:rPr>
          <w:sz w:val="22"/>
          <w:szCs w:val="22"/>
        </w:rPr>
        <w:t>Se entiende por interés superior del niño, niña y adolescente, el imperativo que obliga a todas las personas a garantizar la satisfacción integral y simultánea de todos sus derechos humanos, que son universales, prevalentes e interdependientes.</w:t>
      </w:r>
    </w:p>
    <w:p w14:paraId="5AE749AA" w14:textId="77777777" w:rsidR="00DC42CA" w:rsidRDefault="00443318">
      <w:pPr>
        <w:numPr>
          <w:ilvl w:val="0"/>
          <w:numId w:val="4"/>
        </w:numPr>
        <w:pBdr>
          <w:top w:val="nil"/>
          <w:left w:val="nil"/>
          <w:bottom w:val="nil"/>
          <w:right w:val="nil"/>
          <w:between w:val="nil"/>
        </w:pBdr>
        <w:jc w:val="both"/>
        <w:rPr>
          <w:sz w:val="22"/>
          <w:szCs w:val="22"/>
        </w:rPr>
      </w:pPr>
      <w:r>
        <w:rPr>
          <w:b/>
          <w:sz w:val="22"/>
          <w:szCs w:val="22"/>
        </w:rPr>
        <w:t>Prevalencia de los derechos.</w:t>
      </w:r>
      <w:r>
        <w:rPr>
          <w:sz w:val="22"/>
          <w:szCs w:val="22"/>
        </w:rPr>
        <w:t xml:space="preserve"> En todo acto, decisión o medida administrativa, judicial o de cualquier naturaleza que deba adoptarse en relación con los niños, las niñas y los adolescentes, prevalecerán los derechos de estos, en especial si existe conflicto entre sus derechos fundamentales con los de cualquier otra persona. En caso de conflicto entre dos o más disposiciones legales, administrativas o disciplinarias, se aplicará la norma más favorable al interés superior del niño, niña o adolescente</w:t>
      </w:r>
    </w:p>
    <w:p w14:paraId="7601F85D" w14:textId="77777777" w:rsidR="00DC42CA" w:rsidRDefault="00443318">
      <w:pPr>
        <w:numPr>
          <w:ilvl w:val="0"/>
          <w:numId w:val="4"/>
        </w:numPr>
        <w:pBdr>
          <w:top w:val="nil"/>
          <w:left w:val="nil"/>
          <w:bottom w:val="nil"/>
          <w:right w:val="nil"/>
          <w:between w:val="nil"/>
        </w:pBdr>
        <w:jc w:val="both"/>
        <w:rPr>
          <w:sz w:val="22"/>
          <w:szCs w:val="22"/>
        </w:rPr>
      </w:pPr>
      <w:r>
        <w:rPr>
          <w:b/>
          <w:sz w:val="22"/>
          <w:szCs w:val="22"/>
        </w:rPr>
        <w:t>Corresponsabilidad.</w:t>
      </w:r>
      <w:r>
        <w:rPr>
          <w:sz w:val="22"/>
          <w:szCs w:val="22"/>
        </w:rPr>
        <w:t xml:space="preserve"> Se entiende por corresponsabilidad, la concurrencia de actores y acciones conducentes a garantizar el ejercicio de los derechos de los niños, las niñas y los adolescentes. La familia, la sociedad y el Estado son corresponsables en su atención, cuidado y protección. La corresponsabilidad y la concurrencia aplican en la relación que se establece entre todos los sectores e instituciones del Estado. No obstante, lo anterior, instituciones públicas o privadas obligadas a la prestación de servicios sociales, no podrán invocar el principio de la corresponsabilidad para negar la atención que demande la satisfacción de derechos fundamentales de niños, niñas y adolescentes.</w:t>
      </w:r>
    </w:p>
    <w:p w14:paraId="44A2006B" w14:textId="77777777" w:rsidR="00DC42CA" w:rsidRDefault="00DC42CA">
      <w:pPr>
        <w:jc w:val="both"/>
        <w:rPr>
          <w:b/>
          <w:sz w:val="22"/>
          <w:szCs w:val="22"/>
        </w:rPr>
      </w:pPr>
    </w:p>
    <w:p w14:paraId="15F6F3A6" w14:textId="77777777" w:rsidR="00DC42CA" w:rsidRDefault="00443318">
      <w:pPr>
        <w:jc w:val="both"/>
        <w:rPr>
          <w:sz w:val="22"/>
          <w:szCs w:val="22"/>
        </w:rPr>
      </w:pPr>
      <w:r>
        <w:rPr>
          <w:b/>
          <w:sz w:val="22"/>
          <w:szCs w:val="22"/>
        </w:rPr>
        <w:t>Artículo 4. Lineamientos para garantizar Medidas de Protección Inmediata</w:t>
      </w:r>
      <w:r>
        <w:rPr>
          <w:sz w:val="22"/>
          <w:szCs w:val="22"/>
        </w:rPr>
        <w:t xml:space="preserve">: La Administración Distrital fortalecerá las acciones </w:t>
      </w:r>
      <w:proofErr w:type="spellStart"/>
      <w:r>
        <w:rPr>
          <w:sz w:val="22"/>
          <w:szCs w:val="22"/>
        </w:rPr>
        <w:t>acciones</w:t>
      </w:r>
      <w:proofErr w:type="spellEnd"/>
      <w:r>
        <w:rPr>
          <w:sz w:val="22"/>
          <w:szCs w:val="22"/>
        </w:rPr>
        <w:t xml:space="preserve"> correspondientes para la implementación de las siguientes medidas:</w:t>
      </w:r>
    </w:p>
    <w:p w14:paraId="3DEDD490" w14:textId="77777777" w:rsidR="00DC42CA" w:rsidRDefault="00DC42CA">
      <w:pPr>
        <w:jc w:val="both"/>
        <w:rPr>
          <w:sz w:val="22"/>
          <w:szCs w:val="22"/>
        </w:rPr>
      </w:pPr>
    </w:p>
    <w:p w14:paraId="6800670F" w14:textId="77777777" w:rsidR="00DC42CA" w:rsidRDefault="00443318">
      <w:pPr>
        <w:numPr>
          <w:ilvl w:val="0"/>
          <w:numId w:val="2"/>
        </w:numPr>
        <w:pBdr>
          <w:top w:val="nil"/>
          <w:left w:val="nil"/>
          <w:bottom w:val="nil"/>
          <w:right w:val="nil"/>
          <w:between w:val="nil"/>
        </w:pBdr>
        <w:jc w:val="both"/>
        <w:rPr>
          <w:sz w:val="22"/>
          <w:szCs w:val="22"/>
        </w:rPr>
      </w:pPr>
      <w:r>
        <w:rPr>
          <w:b/>
          <w:sz w:val="22"/>
          <w:szCs w:val="22"/>
        </w:rPr>
        <w:t>Separar al presunto agresor del entorno del menor</w:t>
      </w:r>
      <w:r>
        <w:rPr>
          <w:sz w:val="22"/>
          <w:szCs w:val="22"/>
        </w:rPr>
        <w:t>: De acuerdo con el artículo 44 de la Constitución Política y el artículo 50 de Restablecimiento de los derechos., prevaleciendo el principio del interés superior del menor y evitando su revictimización. Ante una denuncia de abuso sexual o ESCNNA, el presunto agresor deberá ser apartado o alejado de cualquier lugar donde tenga contacto o influencia sobre la víctima, como el hogar, la institución educat</w:t>
      </w:r>
      <w:r>
        <w:rPr>
          <w:sz w:val="22"/>
          <w:szCs w:val="22"/>
          <w:highlight w:val="white"/>
        </w:rPr>
        <w:t>iva o la comunidad.</w:t>
      </w:r>
    </w:p>
    <w:p w14:paraId="727EA6FA" w14:textId="77777777" w:rsidR="00DC42CA" w:rsidRDefault="00443318">
      <w:pPr>
        <w:numPr>
          <w:ilvl w:val="0"/>
          <w:numId w:val="2"/>
        </w:numPr>
        <w:pBdr>
          <w:top w:val="nil"/>
          <w:left w:val="nil"/>
          <w:bottom w:val="nil"/>
          <w:right w:val="nil"/>
          <w:between w:val="nil"/>
        </w:pBdr>
        <w:ind w:left="714" w:hanging="357"/>
        <w:jc w:val="both"/>
        <w:rPr>
          <w:sz w:val="22"/>
          <w:szCs w:val="22"/>
        </w:rPr>
      </w:pPr>
      <w:r>
        <w:rPr>
          <w:b/>
          <w:sz w:val="22"/>
          <w:szCs w:val="22"/>
          <w:highlight w:val="white"/>
        </w:rPr>
        <w:t>Asignación de personal especializado</w:t>
      </w:r>
      <w:r>
        <w:rPr>
          <w:sz w:val="22"/>
          <w:szCs w:val="22"/>
          <w:highlight w:val="white"/>
        </w:rPr>
        <w:t>: Designar de manera inmediata a la denuncia una persona capacitada y especializada en la ruta de atención integral</w:t>
      </w:r>
      <w:r>
        <w:rPr>
          <w:sz w:val="22"/>
          <w:szCs w:val="22"/>
        </w:rPr>
        <w:t xml:space="preserve"> para casos de abuso sexual o ESCNNA, que será encargada de brindar información clara y precisa sobre las líneas de atención disponibles, las entidades competentes y los pasos a seguir en el proceso de denuncia y atención, asegurando que las víctimas y sus familias comprendan sus derechos y las opciones de apoyo disponibles. Así mismo realizará seguimiento continuo a los casos reportados, asegurando que se cumplan las medidas de protección establecidas y que las víctimas reciban la atención necesaria.</w:t>
      </w:r>
    </w:p>
    <w:p w14:paraId="7FD8C0AC" w14:textId="77777777" w:rsidR="00DC42CA" w:rsidRDefault="00443318">
      <w:pPr>
        <w:numPr>
          <w:ilvl w:val="0"/>
          <w:numId w:val="2"/>
        </w:numPr>
        <w:pBdr>
          <w:top w:val="nil"/>
          <w:left w:val="nil"/>
          <w:bottom w:val="nil"/>
          <w:right w:val="nil"/>
          <w:between w:val="nil"/>
        </w:pBdr>
        <w:ind w:left="714" w:hanging="357"/>
        <w:jc w:val="both"/>
        <w:rPr>
          <w:sz w:val="22"/>
          <w:szCs w:val="22"/>
        </w:rPr>
      </w:pPr>
      <w:r>
        <w:rPr>
          <w:b/>
          <w:sz w:val="22"/>
          <w:szCs w:val="22"/>
        </w:rPr>
        <w:t xml:space="preserve">Implementar medidas de protección judiciales: </w:t>
      </w:r>
      <w:r>
        <w:rPr>
          <w:sz w:val="22"/>
          <w:szCs w:val="22"/>
        </w:rPr>
        <w:t>En cabeza de la procuraduría General de la Nación se garantizará a la víctima y a su familia el acceso inmediato a una asesoría jurídica especializada, proporcionada por profesionales capacitados en derecho de infancia y adolescencia, con el fin de orientar y acompañar adecuadamente el proceso legal correspondiente.</w:t>
      </w:r>
    </w:p>
    <w:p w14:paraId="3964906E" w14:textId="77777777" w:rsidR="00DC42CA" w:rsidRDefault="00443318">
      <w:pPr>
        <w:numPr>
          <w:ilvl w:val="0"/>
          <w:numId w:val="2"/>
        </w:numPr>
        <w:ind w:left="714" w:hanging="357"/>
        <w:jc w:val="both"/>
        <w:rPr>
          <w:sz w:val="22"/>
          <w:szCs w:val="22"/>
        </w:rPr>
      </w:pPr>
      <w:r>
        <w:rPr>
          <w:b/>
          <w:sz w:val="22"/>
          <w:szCs w:val="22"/>
        </w:rPr>
        <w:t>Implementar apoyo Psicológico:</w:t>
      </w:r>
      <w:r>
        <w:rPr>
          <w:sz w:val="22"/>
          <w:szCs w:val="22"/>
        </w:rPr>
        <w:t xml:space="preserve"> La Secretaría Distrital de Integración Social en coordinación de la secretaría de Salud y demás competentes garantizarán la prestación de atención psicológica inmediata a las víctimas o presuntas víctimas de abuso sexual o ESCNNA, así como a sus familias, con el fin de mitigar los impactos emocionales y promover su recuperación integral.</w:t>
      </w:r>
    </w:p>
    <w:p w14:paraId="62058EDF" w14:textId="77777777" w:rsidR="00DC42CA" w:rsidRDefault="00DC42CA">
      <w:pPr>
        <w:ind w:left="714"/>
        <w:jc w:val="both"/>
        <w:rPr>
          <w:sz w:val="22"/>
          <w:szCs w:val="22"/>
        </w:rPr>
      </w:pPr>
    </w:p>
    <w:p w14:paraId="0A46E2B9" w14:textId="77777777" w:rsidR="00DC42CA" w:rsidRDefault="00443318">
      <w:pPr>
        <w:spacing w:after="160"/>
        <w:jc w:val="both"/>
        <w:rPr>
          <w:sz w:val="22"/>
          <w:szCs w:val="22"/>
        </w:rPr>
      </w:pPr>
      <w:r>
        <w:rPr>
          <w:b/>
          <w:sz w:val="22"/>
          <w:szCs w:val="22"/>
        </w:rPr>
        <w:t>Artículo 5. Medidas de Protección Preventivas</w:t>
      </w:r>
      <w:r>
        <w:rPr>
          <w:sz w:val="22"/>
          <w:szCs w:val="22"/>
        </w:rPr>
        <w:t>: La Administración Distrital en cabeza de la Secretaría  Distrital de Educación, implementará medidas preventivas para fortalecer los entornos escolares seguros para los niños, niñas y adolescentes. Entre estas medidas se incluyen las siguientes:​</w:t>
      </w:r>
    </w:p>
    <w:p w14:paraId="5C748149" w14:textId="77777777" w:rsidR="00DC42CA" w:rsidRDefault="00443318">
      <w:pPr>
        <w:numPr>
          <w:ilvl w:val="0"/>
          <w:numId w:val="3"/>
        </w:numPr>
        <w:spacing w:after="160"/>
        <w:jc w:val="both"/>
        <w:rPr>
          <w:sz w:val="22"/>
          <w:szCs w:val="22"/>
        </w:rPr>
      </w:pPr>
      <w:r>
        <w:rPr>
          <w:b/>
          <w:sz w:val="22"/>
          <w:szCs w:val="22"/>
        </w:rPr>
        <w:t>Verificación de antecedentes</w:t>
      </w:r>
      <w:r>
        <w:rPr>
          <w:sz w:val="22"/>
          <w:szCs w:val="22"/>
        </w:rPr>
        <w:t>: Previo a la vinculación de cualquier persona que tenga contacto directo o que de su ámbito tenga cercanía con niños, niñas y adolescentes, las instituciones educativas deberán solicitar y revisar los certificados de antecedentes disciplinarios, penales y fiscales, con el fin de asegurar que no existan registros que puedan poner en riesgo la integridad de los estudiantes. En caso de encontrar antecedentes que comprometan la idoneidad del candidato, se deberá abstener de su contratación o vinculación a la institución.</w:t>
      </w:r>
    </w:p>
    <w:p w14:paraId="7C90C28E" w14:textId="77777777" w:rsidR="00DC42CA" w:rsidRDefault="00443318">
      <w:pPr>
        <w:numPr>
          <w:ilvl w:val="0"/>
          <w:numId w:val="3"/>
        </w:numPr>
        <w:spacing w:after="160"/>
        <w:jc w:val="both"/>
        <w:rPr>
          <w:sz w:val="22"/>
          <w:szCs w:val="22"/>
        </w:rPr>
      </w:pPr>
      <w:r>
        <w:rPr>
          <w:b/>
          <w:sz w:val="22"/>
          <w:szCs w:val="22"/>
        </w:rPr>
        <w:t>Actualización periódica</w:t>
      </w:r>
      <w:r>
        <w:rPr>
          <w:sz w:val="22"/>
          <w:szCs w:val="22"/>
        </w:rPr>
        <w:t>: Las instituciones deberán establecer procedimientos para la actualización regular de la información sobre antecedentes de su personal, garantizando así una vigilancia continua.​</w:t>
      </w:r>
    </w:p>
    <w:p w14:paraId="5884B726" w14:textId="77777777" w:rsidR="00DC42CA" w:rsidRDefault="00443318">
      <w:pPr>
        <w:spacing w:after="160"/>
        <w:jc w:val="both"/>
        <w:rPr>
          <w:sz w:val="22"/>
          <w:szCs w:val="22"/>
        </w:rPr>
      </w:pPr>
      <w:r>
        <w:rPr>
          <w:b/>
          <w:sz w:val="22"/>
          <w:szCs w:val="22"/>
        </w:rPr>
        <w:t xml:space="preserve">Artículo 6. Coordinación. </w:t>
      </w:r>
      <w:r>
        <w:rPr>
          <w:sz w:val="22"/>
          <w:szCs w:val="22"/>
        </w:rPr>
        <w:t xml:space="preserve">la Secretaría Distrital de Integración Social; y la Secretaría de Educación del Distrito; con la asistencia técnica de la Secretaría de Seguridad Convivencia y Justicia, serán las entidades encargadas de la formulación, implementación, seguimiento y evaluación de las </w:t>
      </w:r>
      <w:r>
        <w:rPr>
          <w:b/>
          <w:sz w:val="22"/>
          <w:szCs w:val="22"/>
        </w:rPr>
        <w:t xml:space="preserve">MEDIDAS DE PROTECCIÓN INMEDIATA </w:t>
      </w:r>
      <w:r>
        <w:rPr>
          <w:sz w:val="22"/>
          <w:szCs w:val="22"/>
        </w:rPr>
        <w:t>establecidas en el presente acuerdo.</w:t>
      </w:r>
    </w:p>
    <w:p w14:paraId="7673067E" w14:textId="77777777" w:rsidR="00DC42CA" w:rsidRDefault="00443318">
      <w:pPr>
        <w:spacing w:after="160"/>
        <w:jc w:val="both"/>
        <w:rPr>
          <w:sz w:val="22"/>
          <w:szCs w:val="22"/>
        </w:rPr>
      </w:pPr>
      <w:r>
        <w:rPr>
          <w:b/>
          <w:sz w:val="22"/>
          <w:szCs w:val="22"/>
        </w:rPr>
        <w:t xml:space="preserve">Artículo 7. Rendición de cuentas. </w:t>
      </w:r>
      <w:r>
        <w:rPr>
          <w:sz w:val="22"/>
          <w:szCs w:val="22"/>
        </w:rPr>
        <w:t xml:space="preserve">La administración distrital realizará un informe anual de rendición de cuentas sobre los resultados de las </w:t>
      </w:r>
      <w:r>
        <w:rPr>
          <w:b/>
          <w:sz w:val="22"/>
          <w:szCs w:val="22"/>
        </w:rPr>
        <w:t>MEDIDAS DE PROTECCIÓN INMEDIATA</w:t>
      </w:r>
      <w:r>
        <w:rPr>
          <w:sz w:val="22"/>
          <w:szCs w:val="22"/>
        </w:rPr>
        <w:t>, los informes serán presentados al Concejo de Bogotá, la Personería de Bogotá, la Defensoría del Pueblo, la Contraloría Distrital, la Veeduría Distrital y la Procuraduría General de la Nación.</w:t>
      </w:r>
    </w:p>
    <w:p w14:paraId="35CCF9DF" w14:textId="77777777" w:rsidR="00DC42CA" w:rsidRDefault="00443318">
      <w:pPr>
        <w:spacing w:after="160"/>
        <w:jc w:val="both"/>
        <w:rPr>
          <w:sz w:val="22"/>
          <w:szCs w:val="22"/>
        </w:rPr>
      </w:pPr>
      <w:r>
        <w:rPr>
          <w:b/>
          <w:sz w:val="22"/>
          <w:szCs w:val="22"/>
        </w:rPr>
        <w:t>Artículo 8. Vigencia y derogatorias.</w:t>
      </w:r>
      <w:r>
        <w:rPr>
          <w:sz w:val="22"/>
          <w:szCs w:val="22"/>
        </w:rPr>
        <w:t xml:space="preserve"> El presente acuerdo rige a partir de la fecha de su sanción y deroga las disposiciones que le sean contrarias.</w:t>
      </w:r>
    </w:p>
    <w:p w14:paraId="139AC1A5" w14:textId="77777777" w:rsidR="00DC42CA" w:rsidRDefault="00443318">
      <w:pPr>
        <w:spacing w:after="160"/>
        <w:jc w:val="both"/>
        <w:rPr>
          <w:sz w:val="22"/>
          <w:szCs w:val="22"/>
          <w:highlight w:val="yellow"/>
        </w:rPr>
      </w:pPr>
      <w:r>
        <w:rPr>
          <w:sz w:val="22"/>
          <w:szCs w:val="22"/>
          <w:highlight w:val="yellow"/>
        </w:rPr>
        <w:t xml:space="preserve"> </w:t>
      </w:r>
    </w:p>
    <w:p w14:paraId="3303A46B" w14:textId="77777777" w:rsidR="00DC42CA" w:rsidRDefault="00443318">
      <w:pPr>
        <w:spacing w:after="160"/>
        <w:ind w:left="360"/>
        <w:jc w:val="center"/>
        <w:rPr>
          <w:b/>
          <w:sz w:val="22"/>
          <w:szCs w:val="22"/>
        </w:rPr>
      </w:pPr>
      <w:r>
        <w:rPr>
          <w:b/>
          <w:sz w:val="22"/>
          <w:szCs w:val="22"/>
        </w:rPr>
        <w:t>PUBLÍQUESE Y CÚMPLASE</w:t>
      </w:r>
    </w:p>
    <w:sectPr w:rsidR="00DC42CA">
      <w:headerReference w:type="default" r:id="rId12"/>
      <w:footerReference w:type="even" r:id="rId13"/>
      <w:footerReference w:type="default" r:id="rId14"/>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6A827C" w14:textId="77777777" w:rsidR="00521ED8" w:rsidRDefault="00521ED8">
      <w:r>
        <w:separator/>
      </w:r>
    </w:p>
  </w:endnote>
  <w:endnote w:type="continuationSeparator" w:id="0">
    <w:p w14:paraId="7B73BF0A" w14:textId="77777777" w:rsidR="00521ED8" w:rsidRDefault="00521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embedRegular r:id="rId1" w:fontKey="{96096205-B6B9-4A64-B099-C26B1083C6D6}"/>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754F732D-DB01-45C0-83F1-E906C06D6C26}"/>
    <w:embedBold r:id="rId3" w:fontKey="{7213AB8B-7575-4A4F-B1EF-A7DDC4709204}"/>
    <w:embedBoldItalic r:id="rId4" w:fontKey="{C9513166-B99E-427E-A724-DDF5C22C2D1D}"/>
  </w:font>
  <w:font w:name="Tahoma">
    <w:panose1 w:val="020B0604030504040204"/>
    <w:charset w:val="00"/>
    <w:family w:val="swiss"/>
    <w:pitch w:val="variable"/>
    <w:sig w:usb0="E1002EFF" w:usb1="C000605B" w:usb2="00000029" w:usb3="00000000" w:csb0="000101FF" w:csb1="00000000"/>
    <w:embedRegular r:id="rId5" w:fontKey="{16879C73-34DA-46A8-AADF-FC445DDFF572}"/>
  </w:font>
  <w:font w:name="Liberation Sans">
    <w:altName w:val="Arial"/>
    <w:charset w:val="00"/>
    <w:family w:val="auto"/>
    <w:pitch w:val="default"/>
  </w:font>
  <w:font w:name="Droid Sans Fallback">
    <w:panose1 w:val="00000000000000000000"/>
    <w:charset w:val="00"/>
    <w:family w:val="roman"/>
    <w:notTrueType/>
    <w:pitch w:val="default"/>
  </w:font>
  <w:font w:name="FreeSans">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¹Å">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6" w:fontKey="{8986135A-5482-443C-B544-69D7DD4A5256}"/>
  </w:font>
  <w:font w:name="Calibri Light">
    <w:panose1 w:val="020F0302020204030204"/>
    <w:charset w:val="00"/>
    <w:family w:val="swiss"/>
    <w:pitch w:val="variable"/>
    <w:sig w:usb0="E4002EFF" w:usb1="C000247B" w:usb2="00000009" w:usb3="00000000" w:csb0="000001FF" w:csb1="00000000"/>
    <w:embedBoldItalic r:id="rId7" w:fontKey="{1FA30F26-5812-49E6-98B7-647EAB01C117}"/>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7BF5E3" w14:textId="77777777" w:rsidR="00DC42CA" w:rsidRDefault="00443318">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0694D87D" w14:textId="77777777" w:rsidR="00DC42CA" w:rsidRDefault="00DC42CA">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ED311" w14:textId="77777777" w:rsidR="00DC42CA" w:rsidRDefault="00DC42CA">
    <w:pPr>
      <w:pBdr>
        <w:top w:val="nil"/>
        <w:left w:val="nil"/>
        <w:bottom w:val="nil"/>
        <w:right w:val="nil"/>
        <w:between w:val="nil"/>
      </w:pBdr>
      <w:tabs>
        <w:tab w:val="center" w:pos="4252"/>
        <w:tab w:val="right" w:pos="8504"/>
      </w:tabs>
      <w:rPr>
        <w:sz w:val="18"/>
        <w:szCs w:val="18"/>
      </w:rPr>
    </w:pPr>
  </w:p>
  <w:p w14:paraId="4EB405AC" w14:textId="77777777" w:rsidR="00DC42CA" w:rsidRDefault="00DC42CA">
    <w:pPr>
      <w:pBdr>
        <w:top w:val="nil"/>
        <w:left w:val="nil"/>
        <w:bottom w:val="nil"/>
        <w:right w:val="nil"/>
        <w:between w:val="nil"/>
      </w:pBdr>
      <w:tabs>
        <w:tab w:val="center" w:pos="4252"/>
        <w:tab w:val="right" w:pos="8504"/>
      </w:tabs>
      <w:jc w:val="center"/>
      <w:rPr>
        <w:sz w:val="16"/>
        <w:szCs w:val="16"/>
      </w:rPr>
    </w:pPr>
  </w:p>
  <w:p w14:paraId="6B4A70CC" w14:textId="77777777" w:rsidR="00DC42CA" w:rsidRDefault="00DC42CA">
    <w:pPr>
      <w:pBdr>
        <w:top w:val="nil"/>
        <w:left w:val="nil"/>
        <w:bottom w:val="nil"/>
        <w:right w:val="nil"/>
        <w:between w:val="nil"/>
      </w:pBdr>
      <w:tabs>
        <w:tab w:val="center" w:pos="4252"/>
        <w:tab w:val="right" w:pos="8504"/>
      </w:tabs>
      <w:rPr>
        <w:sz w:val="16"/>
        <w:szCs w:val="16"/>
      </w:rPr>
    </w:pPr>
  </w:p>
  <w:p w14:paraId="21D62FBB" w14:textId="77777777" w:rsidR="00DC42CA" w:rsidRDefault="00DC42CA">
    <w:pPr>
      <w:pBdr>
        <w:top w:val="nil"/>
        <w:left w:val="nil"/>
        <w:bottom w:val="nil"/>
        <w:right w:val="nil"/>
        <w:between w:val="nil"/>
      </w:pBdr>
      <w:tabs>
        <w:tab w:val="center" w:pos="4252"/>
        <w:tab w:val="right" w:pos="8504"/>
      </w:tabs>
      <w:rPr>
        <w:sz w:val="16"/>
        <w:szCs w:val="16"/>
      </w:rPr>
    </w:pPr>
  </w:p>
  <w:p w14:paraId="30F1E8E2" w14:textId="77777777" w:rsidR="00DC42CA" w:rsidRDefault="00DC42CA">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6988D0" w14:textId="77777777" w:rsidR="00521ED8" w:rsidRDefault="00521ED8">
      <w:r>
        <w:separator/>
      </w:r>
    </w:p>
  </w:footnote>
  <w:footnote w:type="continuationSeparator" w:id="0">
    <w:p w14:paraId="7388BE27" w14:textId="77777777" w:rsidR="00521ED8" w:rsidRDefault="00521ED8">
      <w:r>
        <w:continuationSeparator/>
      </w:r>
    </w:p>
  </w:footnote>
  <w:footnote w:id="1">
    <w:p w14:paraId="4F7C9EBC" w14:textId="77777777" w:rsidR="00DC42CA" w:rsidRDefault="00443318">
      <w:pPr>
        <w:pBdr>
          <w:top w:val="nil"/>
          <w:left w:val="nil"/>
          <w:bottom w:val="nil"/>
          <w:right w:val="nil"/>
          <w:between w:val="nil"/>
        </w:pBdr>
        <w:rPr>
          <w:sz w:val="20"/>
          <w:szCs w:val="20"/>
        </w:rPr>
      </w:pPr>
      <w:r>
        <w:rPr>
          <w:vertAlign w:val="superscript"/>
        </w:rPr>
        <w:footnoteRef/>
      </w:r>
      <w:r>
        <w:rPr>
          <w:sz w:val="20"/>
          <w:szCs w:val="20"/>
        </w:rPr>
        <w:t xml:space="preserve"> Cifras reportadas en el Observatorio de Convivencia Escolar.</w:t>
      </w:r>
    </w:p>
    <w:p w14:paraId="7AE26910" w14:textId="77777777" w:rsidR="00DC42CA" w:rsidRDefault="00DC42CA">
      <w:pPr>
        <w:pBdr>
          <w:top w:val="nil"/>
          <w:left w:val="nil"/>
          <w:bottom w:val="nil"/>
          <w:right w:val="nil"/>
          <w:between w:val="nil"/>
        </w:pBdr>
        <w:rPr>
          <w:sz w:val="20"/>
          <w:szCs w:val="20"/>
        </w:rPr>
      </w:pPr>
    </w:p>
  </w:footnote>
  <w:footnote w:id="2">
    <w:p w14:paraId="5AE571B0" w14:textId="77777777" w:rsidR="00DC42CA" w:rsidRDefault="00443318">
      <w:pPr>
        <w:pBdr>
          <w:top w:val="nil"/>
          <w:left w:val="nil"/>
          <w:bottom w:val="nil"/>
          <w:right w:val="nil"/>
          <w:between w:val="nil"/>
        </w:pBdr>
        <w:rPr>
          <w:sz w:val="20"/>
          <w:szCs w:val="20"/>
        </w:rPr>
      </w:pPr>
      <w:r>
        <w:rPr>
          <w:vertAlign w:val="superscript"/>
        </w:rPr>
        <w:footnoteRef/>
      </w:r>
      <w:r>
        <w:rPr>
          <w:sz w:val="20"/>
          <w:szCs w:val="20"/>
        </w:rPr>
        <w:t xml:space="preserve"> </w:t>
      </w:r>
      <w:hyperlink r:id="rId1">
        <w:r>
          <w:rPr>
            <w:color w:val="0000FF"/>
            <w:sz w:val="20"/>
            <w:szCs w:val="20"/>
            <w:u w:val="single"/>
          </w:rPr>
          <w:t>https://www.policia.gov.co/estadistica-delictiva?page=1</w:t>
        </w:r>
      </w:hyperlink>
    </w:p>
    <w:p w14:paraId="2F4755EA" w14:textId="77777777" w:rsidR="00DC42CA" w:rsidRDefault="00DC42CA">
      <w:pPr>
        <w:pBdr>
          <w:top w:val="nil"/>
          <w:left w:val="nil"/>
          <w:bottom w:val="nil"/>
          <w:right w:val="nil"/>
          <w:between w:val="nil"/>
        </w:pBdr>
        <w:rPr>
          <w:sz w:val="20"/>
          <w:szCs w:val="20"/>
        </w:rPr>
      </w:pPr>
    </w:p>
  </w:footnote>
  <w:footnote w:id="3">
    <w:p w14:paraId="5EB7B7D7" w14:textId="77777777" w:rsidR="00DC42CA" w:rsidRDefault="00443318">
      <w:pPr>
        <w:pBdr>
          <w:top w:val="nil"/>
          <w:left w:val="nil"/>
          <w:bottom w:val="nil"/>
          <w:right w:val="nil"/>
          <w:between w:val="nil"/>
        </w:pBdr>
        <w:rPr>
          <w:sz w:val="20"/>
          <w:szCs w:val="20"/>
        </w:rPr>
      </w:pPr>
      <w:r>
        <w:rPr>
          <w:vertAlign w:val="superscript"/>
        </w:rPr>
        <w:footnoteRef/>
      </w:r>
      <w:r>
        <w:rPr>
          <w:sz w:val="20"/>
          <w:szCs w:val="20"/>
        </w:rPr>
        <w:t xml:space="preserve"> </w:t>
      </w:r>
      <w:hyperlink r:id="rId2">
        <w:r>
          <w:rPr>
            <w:sz w:val="16"/>
            <w:szCs w:val="16"/>
          </w:rPr>
          <w:t>https://www.medicinalegal.gov.co/cifras-estadisticas/boletines-estadisticos-nna</w:t>
        </w:r>
      </w:hyperlink>
    </w:p>
  </w:footnote>
  <w:footnote w:id="4">
    <w:p w14:paraId="49149809" w14:textId="77777777" w:rsidR="00DC42CA" w:rsidRDefault="00443318">
      <w:pPr>
        <w:pBdr>
          <w:top w:val="nil"/>
          <w:left w:val="nil"/>
          <w:bottom w:val="nil"/>
          <w:right w:val="nil"/>
          <w:between w:val="nil"/>
        </w:pBdr>
        <w:rPr>
          <w:sz w:val="20"/>
          <w:szCs w:val="20"/>
        </w:rPr>
      </w:pPr>
      <w:r>
        <w:rPr>
          <w:vertAlign w:val="superscript"/>
        </w:rPr>
        <w:footnoteRef/>
      </w:r>
      <w:r>
        <w:rPr>
          <w:sz w:val="20"/>
          <w:szCs w:val="20"/>
        </w:rPr>
        <w:t xml:space="preserve"> </w:t>
      </w:r>
      <w:r>
        <w:rPr>
          <w:sz w:val="16"/>
          <w:szCs w:val="16"/>
        </w:rPr>
        <w:t>UNICEF – Directrices para el cuidado de sobrevivientes infantiles de abuso sexual: https://www.unicef.org/media/155436/file/CCS%20Guidelines_Spanish.pdf.pdf?utm_source=chatgpt.com</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E3C1E8" w14:textId="77777777" w:rsidR="00DC42CA" w:rsidRDefault="00DC42CA">
    <w:pPr>
      <w:widowControl w:val="0"/>
      <w:pBdr>
        <w:top w:val="nil"/>
        <w:left w:val="nil"/>
        <w:bottom w:val="nil"/>
        <w:right w:val="nil"/>
        <w:between w:val="nil"/>
      </w:pBdr>
      <w:spacing w:line="276" w:lineRule="auto"/>
      <w:rPr>
        <w:b/>
      </w:rPr>
    </w:pPr>
  </w:p>
  <w:tbl>
    <w:tblPr>
      <w:tblStyle w:val="a3"/>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DC42CA" w14:paraId="1EADA0E7" w14:textId="77777777">
      <w:trPr>
        <w:trHeight w:val="454"/>
      </w:trPr>
      <w:tc>
        <w:tcPr>
          <w:tcW w:w="2361" w:type="dxa"/>
          <w:vMerge w:val="restart"/>
          <w:vAlign w:val="center"/>
        </w:tcPr>
        <w:p w14:paraId="0492C324" w14:textId="77777777" w:rsidR="00DC42CA" w:rsidRDefault="00DC42CA">
          <w:pPr>
            <w:jc w:val="center"/>
            <w:rPr>
              <w:sz w:val="16"/>
              <w:szCs w:val="16"/>
            </w:rPr>
          </w:pPr>
        </w:p>
      </w:tc>
      <w:tc>
        <w:tcPr>
          <w:tcW w:w="4235" w:type="dxa"/>
          <w:vAlign w:val="center"/>
        </w:tcPr>
        <w:p w14:paraId="0D54F819" w14:textId="77777777" w:rsidR="00DC42CA" w:rsidRDefault="00443318">
          <w:pPr>
            <w:jc w:val="center"/>
            <w:rPr>
              <w:sz w:val="18"/>
              <w:szCs w:val="18"/>
            </w:rPr>
          </w:pPr>
          <w:r>
            <w:rPr>
              <w:sz w:val="18"/>
              <w:szCs w:val="18"/>
            </w:rPr>
            <w:t>PROCESO GESTIÓN NORMATIVA</w:t>
          </w:r>
        </w:p>
      </w:tc>
      <w:tc>
        <w:tcPr>
          <w:tcW w:w="2234" w:type="dxa"/>
          <w:vAlign w:val="center"/>
        </w:tcPr>
        <w:p w14:paraId="0FBE9D85" w14:textId="77777777" w:rsidR="00DC42CA" w:rsidRDefault="00443318">
          <w:pPr>
            <w:rPr>
              <w:sz w:val="16"/>
              <w:szCs w:val="16"/>
            </w:rPr>
          </w:pPr>
          <w:r>
            <w:rPr>
              <w:sz w:val="16"/>
              <w:szCs w:val="16"/>
            </w:rPr>
            <w:t>CÓDIGO</w:t>
          </w:r>
          <w:r>
            <w:rPr>
              <w:color w:val="3366FF"/>
              <w:sz w:val="16"/>
              <w:szCs w:val="16"/>
            </w:rPr>
            <w:t xml:space="preserve">: </w:t>
          </w:r>
          <w:r>
            <w:rPr>
              <w:sz w:val="16"/>
              <w:szCs w:val="16"/>
            </w:rPr>
            <w:t>GNV-FO-001</w:t>
          </w:r>
        </w:p>
      </w:tc>
    </w:tr>
    <w:tr w:rsidR="00DC42CA" w14:paraId="67C55EB8" w14:textId="77777777">
      <w:trPr>
        <w:trHeight w:val="454"/>
      </w:trPr>
      <w:tc>
        <w:tcPr>
          <w:tcW w:w="2361" w:type="dxa"/>
          <w:vMerge/>
          <w:vAlign w:val="center"/>
        </w:tcPr>
        <w:p w14:paraId="0602907E" w14:textId="77777777" w:rsidR="00DC42CA" w:rsidRDefault="00DC42CA">
          <w:pPr>
            <w:widowControl w:val="0"/>
            <w:pBdr>
              <w:top w:val="nil"/>
              <w:left w:val="nil"/>
              <w:bottom w:val="nil"/>
              <w:right w:val="nil"/>
              <w:between w:val="nil"/>
            </w:pBdr>
            <w:spacing w:line="276" w:lineRule="auto"/>
            <w:rPr>
              <w:sz w:val="16"/>
              <w:szCs w:val="16"/>
            </w:rPr>
          </w:pPr>
        </w:p>
      </w:tc>
      <w:tc>
        <w:tcPr>
          <w:tcW w:w="4235" w:type="dxa"/>
          <w:vMerge w:val="restart"/>
          <w:vAlign w:val="center"/>
        </w:tcPr>
        <w:p w14:paraId="2B6DEBB2" w14:textId="77777777" w:rsidR="00DC42CA" w:rsidRDefault="00443318">
          <w:pPr>
            <w:jc w:val="center"/>
            <w:rPr>
              <w:sz w:val="20"/>
              <w:szCs w:val="20"/>
            </w:rPr>
          </w:pPr>
          <w:r>
            <w:rPr>
              <w:sz w:val="20"/>
              <w:szCs w:val="20"/>
            </w:rPr>
            <w:t>PRESENTACIÓN PROYECTOS DE ACUERDO</w:t>
          </w:r>
        </w:p>
      </w:tc>
      <w:tc>
        <w:tcPr>
          <w:tcW w:w="2234" w:type="dxa"/>
          <w:vAlign w:val="center"/>
        </w:tcPr>
        <w:p w14:paraId="32F7CECD" w14:textId="77777777" w:rsidR="00DC42CA" w:rsidRDefault="00443318">
          <w:pPr>
            <w:rPr>
              <w:sz w:val="16"/>
              <w:szCs w:val="16"/>
            </w:rPr>
          </w:pPr>
          <w:r>
            <w:rPr>
              <w:sz w:val="16"/>
              <w:szCs w:val="16"/>
            </w:rPr>
            <w:t>VERSIÓN:    02</w:t>
          </w:r>
        </w:p>
      </w:tc>
    </w:tr>
    <w:tr w:rsidR="00DC42CA" w14:paraId="270AF8C8" w14:textId="77777777">
      <w:trPr>
        <w:trHeight w:val="454"/>
      </w:trPr>
      <w:tc>
        <w:tcPr>
          <w:tcW w:w="2361" w:type="dxa"/>
          <w:vMerge/>
          <w:vAlign w:val="center"/>
        </w:tcPr>
        <w:p w14:paraId="19CFA74A" w14:textId="77777777" w:rsidR="00DC42CA" w:rsidRDefault="00DC42CA">
          <w:pPr>
            <w:widowControl w:val="0"/>
            <w:pBdr>
              <w:top w:val="nil"/>
              <w:left w:val="nil"/>
              <w:bottom w:val="nil"/>
              <w:right w:val="nil"/>
              <w:between w:val="nil"/>
            </w:pBdr>
            <w:spacing w:line="276" w:lineRule="auto"/>
            <w:rPr>
              <w:sz w:val="16"/>
              <w:szCs w:val="16"/>
            </w:rPr>
          </w:pPr>
        </w:p>
      </w:tc>
      <w:tc>
        <w:tcPr>
          <w:tcW w:w="4235" w:type="dxa"/>
          <w:vMerge/>
          <w:vAlign w:val="center"/>
        </w:tcPr>
        <w:p w14:paraId="4E5191AE" w14:textId="77777777" w:rsidR="00DC42CA" w:rsidRDefault="00DC42CA">
          <w:pPr>
            <w:widowControl w:val="0"/>
            <w:pBdr>
              <w:top w:val="nil"/>
              <w:left w:val="nil"/>
              <w:bottom w:val="nil"/>
              <w:right w:val="nil"/>
              <w:between w:val="nil"/>
            </w:pBdr>
            <w:spacing w:line="276" w:lineRule="auto"/>
            <w:rPr>
              <w:sz w:val="16"/>
              <w:szCs w:val="16"/>
            </w:rPr>
          </w:pPr>
        </w:p>
      </w:tc>
      <w:tc>
        <w:tcPr>
          <w:tcW w:w="2234" w:type="dxa"/>
          <w:vAlign w:val="center"/>
        </w:tcPr>
        <w:p w14:paraId="2A4EAB36" w14:textId="77777777" w:rsidR="00DC42CA" w:rsidRDefault="00443318">
          <w:pPr>
            <w:rPr>
              <w:sz w:val="16"/>
              <w:szCs w:val="16"/>
            </w:rPr>
          </w:pPr>
          <w:r>
            <w:rPr>
              <w:sz w:val="16"/>
              <w:szCs w:val="16"/>
            </w:rPr>
            <w:t>FECHA: 14-Nov-2019</w:t>
          </w:r>
        </w:p>
      </w:tc>
    </w:tr>
  </w:tbl>
  <w:p w14:paraId="6AF6D30A" w14:textId="77777777" w:rsidR="00DC42CA" w:rsidRDefault="00443318">
    <w:pPr>
      <w:pBdr>
        <w:top w:val="nil"/>
        <w:left w:val="nil"/>
        <w:bottom w:val="nil"/>
        <w:right w:val="nil"/>
        <w:between w:val="nil"/>
      </w:pBdr>
      <w:tabs>
        <w:tab w:val="center" w:pos="4252"/>
        <w:tab w:val="right" w:pos="8504"/>
      </w:tabs>
    </w:pPr>
    <w:r>
      <w:rPr>
        <w:noProof/>
        <w:lang w:val="es-419" w:eastAsia="es-419"/>
      </w:rPr>
      <w:drawing>
        <wp:anchor distT="0" distB="0" distL="0" distR="0" simplePos="0" relativeHeight="251658240" behindDoc="1" locked="0" layoutInCell="1" hidden="0" allowOverlap="1" wp14:anchorId="7E6A4EB3" wp14:editId="4F5A1FA3">
          <wp:simplePos x="0" y="0"/>
          <wp:positionH relativeFrom="column">
            <wp:posOffset>441325</wp:posOffset>
          </wp:positionH>
          <wp:positionV relativeFrom="paragraph">
            <wp:posOffset>-890267</wp:posOffset>
          </wp:positionV>
          <wp:extent cx="752475" cy="88582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8A3BD1"/>
    <w:multiLevelType w:val="multilevel"/>
    <w:tmpl w:val="E7F0954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152" w:hanging="432"/>
      </w:pPr>
    </w:lvl>
    <w:lvl w:ilvl="2">
      <w:start w:val="1"/>
      <w:numFmt w:val="decimal"/>
      <w:lvlText w:val="●.%2.%3."/>
      <w:lvlJc w:val="left"/>
      <w:pPr>
        <w:ind w:left="1584" w:hanging="504"/>
      </w:pPr>
    </w:lvl>
    <w:lvl w:ilvl="3">
      <w:start w:val="1"/>
      <w:numFmt w:val="decimal"/>
      <w:lvlText w:val="●.%2.%3.%4."/>
      <w:lvlJc w:val="left"/>
      <w:pPr>
        <w:ind w:left="2088" w:hanging="648"/>
      </w:pPr>
    </w:lvl>
    <w:lvl w:ilvl="4">
      <w:start w:val="1"/>
      <w:numFmt w:val="decimal"/>
      <w:lvlText w:val="●.%2.%3.%4.%5."/>
      <w:lvlJc w:val="left"/>
      <w:pPr>
        <w:ind w:left="2592" w:hanging="792"/>
      </w:pPr>
    </w:lvl>
    <w:lvl w:ilvl="5">
      <w:start w:val="1"/>
      <w:numFmt w:val="decimal"/>
      <w:lvlText w:val="●.%2.%3.%4.%5.%6."/>
      <w:lvlJc w:val="left"/>
      <w:pPr>
        <w:ind w:left="3096" w:hanging="935"/>
      </w:pPr>
    </w:lvl>
    <w:lvl w:ilvl="6">
      <w:start w:val="1"/>
      <w:numFmt w:val="decimal"/>
      <w:lvlText w:val="●.%2.%3.%4.%5.%6.%7."/>
      <w:lvlJc w:val="left"/>
      <w:pPr>
        <w:ind w:left="3600" w:hanging="1080"/>
      </w:pPr>
    </w:lvl>
    <w:lvl w:ilvl="7">
      <w:start w:val="1"/>
      <w:numFmt w:val="decimal"/>
      <w:lvlText w:val="●.%2.%3.%4.%5.%6.%7.%8."/>
      <w:lvlJc w:val="left"/>
      <w:pPr>
        <w:ind w:left="4104" w:hanging="1224"/>
      </w:pPr>
    </w:lvl>
    <w:lvl w:ilvl="8">
      <w:start w:val="1"/>
      <w:numFmt w:val="decimal"/>
      <w:lvlText w:val="●.%2.%3.%4.%5.%6.%7.%8.%9."/>
      <w:lvlJc w:val="left"/>
      <w:pPr>
        <w:ind w:left="4680" w:hanging="1440"/>
      </w:pPr>
    </w:lvl>
  </w:abstractNum>
  <w:abstractNum w:abstractNumId="1" w15:restartNumberingAfterBreak="0">
    <w:nsid w:val="2F436AA8"/>
    <w:multiLevelType w:val="multilevel"/>
    <w:tmpl w:val="DD0464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37381F7A"/>
    <w:multiLevelType w:val="multilevel"/>
    <w:tmpl w:val="93F6AB5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5F45A23"/>
    <w:multiLevelType w:val="multilevel"/>
    <w:tmpl w:val="7C7AB3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4D3816A9"/>
    <w:multiLevelType w:val="multilevel"/>
    <w:tmpl w:val="091AAE8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5C6C6099"/>
    <w:multiLevelType w:val="multilevel"/>
    <w:tmpl w:val="2E5615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62D37659"/>
    <w:multiLevelType w:val="multilevel"/>
    <w:tmpl w:val="18D860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
  </w:num>
  <w:num w:numId="2">
    <w:abstractNumId w:val="1"/>
  </w:num>
  <w:num w:numId="3">
    <w:abstractNumId w:val="6"/>
  </w:num>
  <w:num w:numId="4">
    <w:abstractNumId w:val="4"/>
  </w:num>
  <w:num w:numId="5">
    <w:abstractNumId w:val="3"/>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42CA"/>
    <w:rsid w:val="00443318"/>
    <w:rsid w:val="00507C56"/>
    <w:rsid w:val="00521ED8"/>
    <w:rsid w:val="00D56001"/>
    <w:rsid w:val="00D74D89"/>
    <w:rsid w:val="00DC42C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456A56"/>
  <w15:docId w15:val="{D4A7B119-47F9-A84B-A77A-C5F9D450A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CO"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
    <w:locked/>
    <w:rsid w:val="00BD4F10"/>
    <w:rPr>
      <w:rFonts w:cs="Times New Roman"/>
      <w:b/>
      <w:sz w:val="28"/>
      <w:lang w:val="es-ES" w:eastAsia="es-ES"/>
    </w:rPr>
  </w:style>
  <w:style w:type="character" w:customStyle="1" w:styleId="Ttulo5Car">
    <w:name w:val="Título 5 Car"/>
    <w:basedOn w:val="Fuentedeprrafopredeter"/>
    <w:link w:val="Ttulo5"/>
    <w:semiHidden/>
    <w:locked/>
    <w:rsid w:val="00776D41"/>
    <w:rPr>
      <w:rFonts w:ascii="Cambria" w:hAnsi="Cambria" w:cs="Times New Roman"/>
      <w:color w:val="243F60"/>
      <w:sz w:val="24"/>
      <w:lang w:val="es-ES" w:eastAsia="es-ES"/>
    </w:rPr>
  </w:style>
  <w:style w:type="paragraph" w:styleId="Encabezado">
    <w:name w:val="header"/>
    <w:basedOn w:val="Normal"/>
    <w:link w:val="EncabezadoCar"/>
    <w:rsid w:val="00AE7E3B"/>
    <w:pPr>
      <w:tabs>
        <w:tab w:val="center" w:pos="4252"/>
        <w:tab w:val="right" w:pos="8504"/>
      </w:tabs>
    </w:pPr>
  </w:style>
  <w:style w:type="character" w:customStyle="1" w:styleId="EncabezadoCar">
    <w:name w:val="Encabezado Car"/>
    <w:basedOn w:val="Fuentedeprrafopredeter"/>
    <w:link w:val="Encabezado"/>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locked/>
    <w:rsid w:val="0078358A"/>
    <w:rPr>
      <w:rFonts w:ascii="Arial" w:hAnsi="Arial" w:cs="Times New Roman"/>
      <w:color w:val="000000"/>
      <w:sz w:val="20"/>
      <w:szCs w:val="20"/>
    </w:rPr>
  </w:style>
  <w:style w:type="character" w:styleId="Refdecomentario">
    <w:name w:val="annotation reference"/>
    <w:basedOn w:val="Fuentedeprrafopredeter"/>
    <w:semiHidden/>
    <w:rsid w:val="00AE7E3B"/>
    <w:rPr>
      <w:rFonts w:cs="Times New Roman"/>
      <w:sz w:val="16"/>
    </w:rPr>
  </w:style>
  <w:style w:type="paragraph" w:styleId="Textocomentario">
    <w:name w:val="annotation text"/>
    <w:basedOn w:val="Normal"/>
    <w:link w:val="TextocomentarioCar"/>
    <w:semiHidden/>
    <w:rsid w:val="00AE7E3B"/>
    <w:rPr>
      <w:sz w:val="20"/>
    </w:rPr>
  </w:style>
  <w:style w:type="character" w:customStyle="1" w:styleId="TextocomentarioCar">
    <w:name w:val="Texto comentario Car"/>
    <w:basedOn w:val="Fuentedeprrafopredeter"/>
    <w:link w:val="Textocomentario"/>
    <w:semiHidden/>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rsid w:val="00AD4793"/>
    <w:rPr>
      <w:rFonts w:cs="Times New Roman"/>
    </w:rPr>
  </w:style>
  <w:style w:type="paragraph" w:styleId="Textoindependiente2">
    <w:name w:val="Body Text 2"/>
    <w:basedOn w:val="Normal"/>
    <w:link w:val="Textoindependiente2Car"/>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locked/>
    <w:rsid w:val="0078358A"/>
    <w:rPr>
      <w:rFonts w:ascii="Arial" w:hAnsi="Arial" w:cs="Times New Roman"/>
      <w:color w:val="000000"/>
      <w:sz w:val="20"/>
      <w:szCs w:val="20"/>
    </w:rPr>
  </w:style>
  <w:style w:type="paragraph" w:styleId="Textoindependiente3">
    <w:name w:val="Body Text 3"/>
    <w:basedOn w:val="Normal"/>
    <w:link w:val="Textoindependiente3Car"/>
    <w:rsid w:val="00840C8F"/>
    <w:pPr>
      <w:spacing w:after="120"/>
    </w:pPr>
    <w:rPr>
      <w:sz w:val="16"/>
      <w:szCs w:val="16"/>
    </w:rPr>
  </w:style>
  <w:style w:type="character" w:customStyle="1" w:styleId="Textoindependiente3Car">
    <w:name w:val="Texto independiente 3 Car"/>
    <w:basedOn w:val="Fuentedeprrafopredeter"/>
    <w:link w:val="Textoindependiente3"/>
    <w:locked/>
    <w:rsid w:val="0078358A"/>
    <w:rPr>
      <w:rFonts w:ascii="Arial" w:hAnsi="Arial" w:cs="Times New Roman"/>
      <w:color w:val="000000"/>
      <w:sz w:val="16"/>
      <w:szCs w:val="16"/>
    </w:rPr>
  </w:style>
  <w:style w:type="paragraph" w:styleId="Textodeglobo">
    <w:name w:val="Balloon Text"/>
    <w:basedOn w:val="Normal"/>
    <w:link w:val="TextodegloboCar"/>
    <w:semiHidden/>
    <w:rsid w:val="00DD7435"/>
    <w:rPr>
      <w:rFonts w:ascii="Tahoma" w:hAnsi="Tahoma" w:cs="Tahoma"/>
      <w:sz w:val="16"/>
      <w:szCs w:val="16"/>
    </w:rPr>
  </w:style>
  <w:style w:type="character" w:customStyle="1" w:styleId="TextodegloboCar">
    <w:name w:val="Texto de globo Car"/>
    <w:basedOn w:val="Fuentedeprrafopredeter"/>
    <w:link w:val="Textodeglobo"/>
    <w:semiHidden/>
    <w:locked/>
    <w:rsid w:val="0078358A"/>
    <w:rPr>
      <w:rFonts w:cs="Times New Roman"/>
      <w:color w:val="000000"/>
      <w:sz w:val="2"/>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NormalWeb">
    <w:name w:val="Normal (Web)"/>
    <w:basedOn w:val="Normal"/>
    <w:link w:val="NormalWebCar"/>
    <w:uiPriority w:val="99"/>
    <w:unhideWhenUsed/>
    <w:rsid w:val="00BD49F9"/>
    <w:pPr>
      <w:spacing w:before="100" w:beforeAutospacing="1" w:after="100" w:afterAutospacing="1"/>
    </w:pPr>
    <w:rPr>
      <w:rFonts w:ascii="Times New Roman" w:hAnsi="Times New Roman"/>
      <w:color w:val="auto"/>
    </w:rPr>
  </w:style>
  <w:style w:type="paragraph" w:customStyle="1" w:styleId="Encabezado1">
    <w:name w:val="Encabezado 1"/>
    <w:basedOn w:val="Normal"/>
    <w:next w:val="Normal"/>
    <w:qFormat/>
    <w:rsid w:val="00AC13AF"/>
    <w:pPr>
      <w:keepNext/>
      <w:suppressAutoHyphens/>
      <w:jc w:val="center"/>
      <w:outlineLvl w:val="0"/>
    </w:pPr>
    <w:rPr>
      <w:rFonts w:ascii="Times New Roman" w:hAnsi="Times New Roman"/>
      <w:color w:val="00000A"/>
      <w:lang w:val="es-MX"/>
    </w:rPr>
  </w:style>
  <w:style w:type="paragraph" w:customStyle="1" w:styleId="Encabezado2">
    <w:name w:val="Encabezado 2"/>
    <w:basedOn w:val="Normal"/>
    <w:next w:val="Normal"/>
    <w:qFormat/>
    <w:rsid w:val="00AC13AF"/>
    <w:pPr>
      <w:keepNext/>
      <w:suppressAutoHyphens/>
      <w:outlineLvl w:val="1"/>
    </w:pPr>
    <w:rPr>
      <w:rFonts w:ascii="Times New Roman" w:hAnsi="Times New Roman"/>
      <w:color w:val="00000A"/>
      <w:lang w:val="es-MX"/>
    </w:rPr>
  </w:style>
  <w:style w:type="paragraph" w:customStyle="1" w:styleId="Encabezado3">
    <w:name w:val="Encabezado 3"/>
    <w:basedOn w:val="Encabezado"/>
    <w:rsid w:val="00AC13AF"/>
    <w:pPr>
      <w:keepNext/>
      <w:tabs>
        <w:tab w:val="clear" w:pos="4252"/>
        <w:tab w:val="clear" w:pos="8504"/>
      </w:tabs>
      <w:suppressAutoHyphens/>
      <w:spacing w:before="240" w:after="120"/>
    </w:pPr>
    <w:rPr>
      <w:rFonts w:ascii="Liberation Sans" w:eastAsia="Droid Sans Fallback" w:hAnsi="Liberation Sans" w:cs="FreeSans"/>
      <w:sz w:val="28"/>
      <w:szCs w:val="28"/>
    </w:rPr>
  </w:style>
  <w:style w:type="paragraph" w:customStyle="1" w:styleId="Encabezado4">
    <w:name w:val="Encabezado 4"/>
    <w:basedOn w:val="Normal"/>
    <w:next w:val="Normal"/>
    <w:qFormat/>
    <w:rsid w:val="00AC13AF"/>
    <w:pPr>
      <w:keepNext/>
      <w:suppressAutoHyphens/>
      <w:spacing w:before="240" w:after="60"/>
      <w:outlineLvl w:val="3"/>
    </w:pPr>
    <w:rPr>
      <w:rFonts w:ascii="Times New Roman" w:hAnsi="Times New Roman"/>
      <w:b/>
      <w:bCs/>
      <w:color w:val="00000A"/>
      <w:sz w:val="28"/>
      <w:szCs w:val="28"/>
    </w:rPr>
  </w:style>
  <w:style w:type="paragraph" w:customStyle="1" w:styleId="Encabezado5">
    <w:name w:val="Encabezado 5"/>
    <w:basedOn w:val="Normal"/>
    <w:next w:val="Normal"/>
    <w:qFormat/>
    <w:rsid w:val="00AC13AF"/>
    <w:pPr>
      <w:keepNext/>
      <w:keepLines/>
      <w:suppressAutoHyphens/>
      <w:spacing w:before="200"/>
      <w:outlineLvl w:val="4"/>
    </w:pPr>
    <w:rPr>
      <w:rFonts w:ascii="Cambria" w:hAnsi="Cambria"/>
      <w:color w:val="243F60"/>
    </w:rPr>
  </w:style>
  <w:style w:type="character" w:customStyle="1" w:styleId="EnlacedeInternet">
    <w:name w:val="Enlace de Internet"/>
    <w:uiPriority w:val="99"/>
    <w:semiHidden/>
    <w:unhideWhenUsed/>
    <w:rsid w:val="00AC13AF"/>
    <w:rPr>
      <w:rFonts w:cs="Times New Roman"/>
      <w:color w:val="0000FF"/>
      <w:u w:val="single"/>
    </w:rPr>
  </w:style>
  <w:style w:type="character" w:customStyle="1" w:styleId="TextonotapieCar">
    <w:name w:val="Texto nota pie Car"/>
    <w:aliases w:val="Footnote Text Char Char Char Char Char Car,Footnote Text Char Char Char Char Car,Footnote reference Car,FA Fu Car,Footnote Text Char Char Char Char Char Char Char Char Car,Footnote Text Char Char Char Char Char Char1 Car,ft Car"/>
    <w:link w:val="Textonotapie"/>
    <w:uiPriority w:val="99"/>
    <w:rsid w:val="00AC13AF"/>
    <w:rPr>
      <w:rFonts w:ascii="Arial" w:hAnsi="Arial"/>
      <w:color w:val="000000"/>
    </w:rPr>
  </w:style>
  <w:style w:type="character" w:styleId="Refdenotaalpie">
    <w:name w:val="footnote reference"/>
    <w:uiPriority w:val="99"/>
    <w:unhideWhenUsed/>
    <w:rsid w:val="00AC13AF"/>
    <w:rPr>
      <w:vertAlign w:val="superscript"/>
    </w:rPr>
  </w:style>
  <w:style w:type="character" w:customStyle="1" w:styleId="CharAttribute7">
    <w:name w:val="CharAttribute7"/>
    <w:rsid w:val="00AC13AF"/>
    <w:rPr>
      <w:rFonts w:ascii="Arial" w:eastAsia="Times New Roman" w:hAnsi="Arial" w:cs="Arial"/>
      <w:b/>
      <w:bCs w:val="0"/>
      <w:sz w:val="24"/>
    </w:rPr>
  </w:style>
  <w:style w:type="character" w:customStyle="1" w:styleId="apple-converted-space">
    <w:name w:val="apple-converted-space"/>
    <w:basedOn w:val="Fuentedeprrafopredeter"/>
    <w:rsid w:val="00AC13AF"/>
  </w:style>
  <w:style w:type="character" w:styleId="Textoennegrita">
    <w:name w:val="Strong"/>
    <w:uiPriority w:val="22"/>
    <w:qFormat/>
    <w:locked/>
    <w:rsid w:val="00AC13AF"/>
    <w:rPr>
      <w:b/>
      <w:bCs/>
    </w:rPr>
  </w:style>
  <w:style w:type="character" w:customStyle="1" w:styleId="titulonegrita1">
    <w:name w:val="titulonegrita1"/>
    <w:rsid w:val="00AC13AF"/>
  </w:style>
  <w:style w:type="character" w:customStyle="1" w:styleId="estilo35">
    <w:name w:val="estilo35"/>
    <w:rsid w:val="00AC13AF"/>
  </w:style>
  <w:style w:type="character" w:customStyle="1" w:styleId="estilo221">
    <w:name w:val="estilo221"/>
    <w:rsid w:val="00AC13AF"/>
  </w:style>
  <w:style w:type="character" w:customStyle="1" w:styleId="titulofondoverde">
    <w:name w:val="titulofondoverde"/>
    <w:rsid w:val="00AC13AF"/>
  </w:style>
  <w:style w:type="character" w:customStyle="1" w:styleId="estilo37">
    <w:name w:val="estilo37"/>
    <w:rsid w:val="00AC13AF"/>
  </w:style>
  <w:style w:type="character" w:customStyle="1" w:styleId="textoparrafo1">
    <w:name w:val="textoparrafo1"/>
    <w:rsid w:val="00AC13AF"/>
  </w:style>
  <w:style w:type="character" w:customStyle="1" w:styleId="estilo45">
    <w:name w:val="estilo45"/>
    <w:rsid w:val="00AC13AF"/>
  </w:style>
  <w:style w:type="character" w:customStyle="1" w:styleId="estilo44">
    <w:name w:val="estilo44"/>
    <w:rsid w:val="00AC13AF"/>
  </w:style>
  <w:style w:type="character" w:customStyle="1" w:styleId="estilo17">
    <w:name w:val="estilo17"/>
    <w:rsid w:val="00AC13AF"/>
  </w:style>
  <w:style w:type="character" w:customStyle="1" w:styleId="estilo24">
    <w:name w:val="estilo24"/>
    <w:rsid w:val="00AC13AF"/>
  </w:style>
  <w:style w:type="character" w:customStyle="1" w:styleId="ListLabel1">
    <w:name w:val="ListLabel 1"/>
    <w:rsid w:val="00AC13AF"/>
    <w:rPr>
      <w:rFonts w:eastAsia="Times New Roman"/>
    </w:rPr>
  </w:style>
  <w:style w:type="character" w:customStyle="1" w:styleId="ListLabel2">
    <w:name w:val="ListLabel 2"/>
    <w:rsid w:val="00AC13AF"/>
    <w:rPr>
      <w:b/>
      <w:bCs/>
    </w:rPr>
  </w:style>
  <w:style w:type="character" w:customStyle="1" w:styleId="ListLabel3">
    <w:name w:val="ListLabel 3"/>
    <w:rsid w:val="00AC13AF"/>
    <w:rPr>
      <w:b/>
    </w:rPr>
  </w:style>
  <w:style w:type="character" w:customStyle="1" w:styleId="ListLabel4">
    <w:name w:val="ListLabel 4"/>
    <w:rsid w:val="00AC13AF"/>
    <w:rPr>
      <w:rFonts w:cs="Courier New"/>
    </w:rPr>
  </w:style>
  <w:style w:type="character" w:customStyle="1" w:styleId="ListLabel5">
    <w:name w:val="ListLabel 5"/>
    <w:rsid w:val="00AC13AF"/>
    <w:rPr>
      <w:sz w:val="20"/>
    </w:rPr>
  </w:style>
  <w:style w:type="character" w:customStyle="1" w:styleId="Ancladenotaalpie">
    <w:name w:val="Ancla de nota al pie"/>
    <w:rsid w:val="00AC13AF"/>
    <w:rPr>
      <w:vertAlign w:val="superscript"/>
    </w:rPr>
  </w:style>
  <w:style w:type="character" w:customStyle="1" w:styleId="Ancladenotafinal">
    <w:name w:val="Ancla de nota final"/>
    <w:rsid w:val="00AC13AF"/>
    <w:rPr>
      <w:vertAlign w:val="superscript"/>
    </w:rPr>
  </w:style>
  <w:style w:type="character" w:customStyle="1" w:styleId="ListLabel6">
    <w:name w:val="ListLabel 6"/>
    <w:rsid w:val="00AC13AF"/>
    <w:rPr>
      <w:b/>
    </w:rPr>
  </w:style>
  <w:style w:type="character" w:customStyle="1" w:styleId="ListLabel7">
    <w:name w:val="ListLabel 7"/>
    <w:rsid w:val="00AC13AF"/>
    <w:rPr>
      <w:rFonts w:cs="Symbol"/>
      <w:sz w:val="20"/>
    </w:rPr>
  </w:style>
  <w:style w:type="character" w:customStyle="1" w:styleId="ListLabel8">
    <w:name w:val="ListLabel 8"/>
    <w:rsid w:val="00AC13AF"/>
    <w:rPr>
      <w:rFonts w:cs="Courier New"/>
      <w:sz w:val="20"/>
    </w:rPr>
  </w:style>
  <w:style w:type="character" w:customStyle="1" w:styleId="ListLabel9">
    <w:name w:val="ListLabel 9"/>
    <w:rsid w:val="00AC13AF"/>
    <w:rPr>
      <w:rFonts w:cs="Wingdings"/>
      <w:sz w:val="20"/>
    </w:rPr>
  </w:style>
  <w:style w:type="character" w:customStyle="1" w:styleId="Caracteresdenotaalpie">
    <w:name w:val="Caracteres de nota al pie"/>
    <w:rsid w:val="00AC13AF"/>
  </w:style>
  <w:style w:type="character" w:customStyle="1" w:styleId="Caracteresdenotafinal">
    <w:name w:val="Caracteres de nota final"/>
    <w:rsid w:val="00AC13AF"/>
  </w:style>
  <w:style w:type="character" w:customStyle="1" w:styleId="Ttulo1Car1">
    <w:name w:val="Título 1 Car1"/>
    <w:rsid w:val="00AC13AF"/>
    <w:rPr>
      <w:rFonts w:ascii="Cambria" w:hAnsi="Cambria"/>
      <w:color w:val="365F91"/>
      <w:sz w:val="32"/>
      <w:szCs w:val="32"/>
    </w:rPr>
  </w:style>
  <w:style w:type="character" w:customStyle="1" w:styleId="ListLabel10">
    <w:name w:val="ListLabel 10"/>
    <w:rsid w:val="00AC13AF"/>
    <w:rPr>
      <w:b/>
    </w:rPr>
  </w:style>
  <w:style w:type="character" w:customStyle="1" w:styleId="ListLabel11">
    <w:name w:val="ListLabel 11"/>
    <w:rsid w:val="00AC13AF"/>
    <w:rPr>
      <w:rFonts w:cs="Symbol"/>
      <w:sz w:val="20"/>
    </w:rPr>
  </w:style>
  <w:style w:type="character" w:customStyle="1" w:styleId="ListLabel12">
    <w:name w:val="ListLabel 12"/>
    <w:rsid w:val="00AC13AF"/>
    <w:rPr>
      <w:rFonts w:cs="Courier New"/>
      <w:sz w:val="20"/>
    </w:rPr>
  </w:style>
  <w:style w:type="character" w:customStyle="1" w:styleId="ListLabel13">
    <w:name w:val="ListLabel 13"/>
    <w:rsid w:val="00AC13AF"/>
    <w:rPr>
      <w:rFonts w:cs="Wingdings"/>
      <w:sz w:val="20"/>
    </w:rPr>
  </w:style>
  <w:style w:type="character" w:customStyle="1" w:styleId="ListLabel14">
    <w:name w:val="ListLabel 14"/>
    <w:rsid w:val="00AC13AF"/>
    <w:rPr>
      <w:u w:val="none"/>
    </w:rPr>
  </w:style>
  <w:style w:type="character" w:customStyle="1" w:styleId="ListLabel15">
    <w:name w:val="ListLabel 15"/>
    <w:rsid w:val="00AC13AF"/>
    <w:rPr>
      <w:rFonts w:cs="Courier New"/>
    </w:rPr>
  </w:style>
  <w:style w:type="character" w:customStyle="1" w:styleId="Muydestacado">
    <w:name w:val="Muy destacado"/>
    <w:rsid w:val="00AC13AF"/>
    <w:rPr>
      <w:b/>
      <w:bCs/>
    </w:rPr>
  </w:style>
  <w:style w:type="character" w:customStyle="1" w:styleId="Vietas">
    <w:name w:val="Viñetas"/>
    <w:rsid w:val="00AC13AF"/>
    <w:rPr>
      <w:rFonts w:ascii="OpenSymbol" w:eastAsia="OpenSymbol" w:hAnsi="OpenSymbol" w:cs="OpenSymbol"/>
    </w:rPr>
  </w:style>
  <w:style w:type="character" w:customStyle="1" w:styleId="Smbolosdenumeracin">
    <w:name w:val="Símbolos de numeración"/>
    <w:rsid w:val="00AC13AF"/>
  </w:style>
  <w:style w:type="character" w:customStyle="1" w:styleId="TextonotaalfinalCar">
    <w:name w:val="Texto nota al final Car"/>
    <w:link w:val="Textonotaalfinal"/>
    <w:uiPriority w:val="99"/>
    <w:semiHidden/>
    <w:rsid w:val="00AC13AF"/>
    <w:rPr>
      <w:rFonts w:ascii="Arial" w:hAnsi="Arial"/>
      <w:color w:val="000000"/>
    </w:rPr>
  </w:style>
  <w:style w:type="character" w:styleId="Refdenotaalfinal">
    <w:name w:val="endnote reference"/>
    <w:uiPriority w:val="99"/>
    <w:semiHidden/>
    <w:unhideWhenUsed/>
    <w:rsid w:val="00AC13AF"/>
    <w:rPr>
      <w:vertAlign w:val="superscript"/>
    </w:rPr>
  </w:style>
  <w:style w:type="character" w:customStyle="1" w:styleId="ListLabel16">
    <w:name w:val="ListLabel 16"/>
    <w:rsid w:val="00AC13AF"/>
    <w:rPr>
      <w:sz w:val="20"/>
    </w:rPr>
  </w:style>
  <w:style w:type="character" w:customStyle="1" w:styleId="ListLabel17">
    <w:name w:val="ListLabel 17"/>
    <w:rsid w:val="00AC13AF"/>
    <w:rPr>
      <w:rFonts w:cs="Symbol"/>
      <w:sz w:val="20"/>
    </w:rPr>
  </w:style>
  <w:style w:type="paragraph" w:customStyle="1" w:styleId="Cuerpodetexto">
    <w:name w:val="Cuerpo de texto"/>
    <w:basedOn w:val="Normal"/>
    <w:rsid w:val="00AC13AF"/>
    <w:pPr>
      <w:suppressAutoHyphens/>
      <w:spacing w:after="140" w:line="288" w:lineRule="auto"/>
      <w:jc w:val="both"/>
    </w:pPr>
    <w:rPr>
      <w:rFonts w:ascii="Times New Roman" w:hAnsi="Times New Roman"/>
      <w:color w:val="00000A"/>
      <w:lang w:val="es-MX"/>
    </w:rPr>
  </w:style>
  <w:style w:type="paragraph" w:styleId="Lista">
    <w:name w:val="List"/>
    <w:basedOn w:val="Cuerpodetexto"/>
    <w:rsid w:val="00AC13AF"/>
    <w:rPr>
      <w:rFonts w:cs="FreeSans"/>
    </w:rPr>
  </w:style>
  <w:style w:type="paragraph" w:customStyle="1" w:styleId="Pie">
    <w:name w:val="Pie"/>
    <w:basedOn w:val="Normal"/>
    <w:rsid w:val="00AC13AF"/>
    <w:pPr>
      <w:suppressLineNumbers/>
      <w:suppressAutoHyphens/>
      <w:spacing w:before="120" w:after="120"/>
    </w:pPr>
    <w:rPr>
      <w:rFonts w:cs="FreeSans"/>
      <w:i/>
      <w:iCs/>
    </w:rPr>
  </w:style>
  <w:style w:type="paragraph" w:customStyle="1" w:styleId="ndice">
    <w:name w:val="Índice"/>
    <w:basedOn w:val="Normal"/>
    <w:rsid w:val="00AC13AF"/>
    <w:pPr>
      <w:suppressLineNumbers/>
      <w:suppressAutoHyphens/>
    </w:pPr>
    <w:rPr>
      <w:rFonts w:cs="FreeSans"/>
    </w:rPr>
  </w:style>
  <w:style w:type="paragraph" w:customStyle="1" w:styleId="Encabezamiento">
    <w:name w:val="Encabezamiento"/>
    <w:basedOn w:val="Normal"/>
    <w:rsid w:val="00AC13AF"/>
    <w:pPr>
      <w:keepNext/>
      <w:tabs>
        <w:tab w:val="center" w:pos="4252"/>
        <w:tab w:val="right" w:pos="8504"/>
      </w:tabs>
      <w:suppressAutoHyphens/>
      <w:spacing w:before="240" w:after="120"/>
    </w:pPr>
    <w:rPr>
      <w:rFonts w:ascii="Liberation Sans" w:eastAsia="Droid Sans Fallback" w:hAnsi="Liberation Sans" w:cs="FreeSans"/>
      <w:sz w:val="28"/>
      <w:szCs w:val="28"/>
    </w:rPr>
  </w:style>
  <w:style w:type="paragraph" w:customStyle="1" w:styleId="Tabla">
    <w:name w:val="Tabla"/>
    <w:basedOn w:val="Normal"/>
    <w:autoRedefine/>
    <w:rsid w:val="00AC13AF"/>
    <w:pPr>
      <w:suppressAutoHyphens/>
      <w:spacing w:before="40" w:after="40"/>
      <w:ind w:left="4" w:hanging="4"/>
    </w:pPr>
    <w:rPr>
      <w:b/>
      <w:sz w:val="20"/>
      <w:lang w:val="en-GB" w:eastAsia="en-US"/>
    </w:rPr>
  </w:style>
  <w:style w:type="paragraph" w:styleId="Textonotapie">
    <w:name w:val="footnote text"/>
    <w:aliases w:val="Footnote Text Char Char Char Char Char,Footnote Text Char Char Char Char,Footnote reference,FA Fu,Footnote Text Char Char Char Char Char Char Char Char,Footnote Text Char Char Char Char Char Char1,ft"/>
    <w:basedOn w:val="Normal"/>
    <w:link w:val="TextonotapieCar"/>
    <w:uiPriority w:val="99"/>
    <w:unhideWhenUsed/>
    <w:rsid w:val="00AC13AF"/>
    <w:pPr>
      <w:suppressAutoHyphens/>
    </w:pPr>
    <w:rPr>
      <w:sz w:val="20"/>
    </w:rPr>
  </w:style>
  <w:style w:type="character" w:customStyle="1" w:styleId="TextonotapieCar1">
    <w:name w:val="Texto nota pie Car1"/>
    <w:basedOn w:val="Fuentedeprrafopredeter"/>
    <w:uiPriority w:val="99"/>
    <w:semiHidden/>
    <w:rsid w:val="00AC13AF"/>
    <w:rPr>
      <w:rFonts w:ascii="Arial" w:hAnsi="Arial"/>
      <w:color w:val="000000"/>
    </w:rPr>
  </w:style>
  <w:style w:type="paragraph" w:customStyle="1" w:styleId="ParaAttribute9">
    <w:name w:val="ParaAttribute9"/>
    <w:rsid w:val="00AC13AF"/>
    <w:pPr>
      <w:suppressAutoHyphens/>
      <w:spacing w:before="280" w:after="280"/>
      <w:jc w:val="both"/>
    </w:pPr>
    <w:rPr>
      <w:rFonts w:eastAsia="¹Å"/>
      <w:color w:val="00000A"/>
    </w:rPr>
  </w:style>
  <w:style w:type="paragraph" w:customStyle="1" w:styleId="titulonegrita">
    <w:name w:val="titulonegrita"/>
    <w:basedOn w:val="Normal"/>
    <w:rsid w:val="00AC13AF"/>
    <w:pPr>
      <w:suppressAutoHyphens/>
      <w:spacing w:after="280"/>
    </w:pPr>
    <w:rPr>
      <w:rFonts w:ascii="Times New Roman" w:hAnsi="Times New Roman"/>
      <w:color w:val="00000A"/>
    </w:rPr>
  </w:style>
  <w:style w:type="paragraph" w:customStyle="1" w:styleId="textoparrafo">
    <w:name w:val="textoparrafo"/>
    <w:basedOn w:val="Normal"/>
    <w:rsid w:val="00AC13AF"/>
    <w:pPr>
      <w:suppressAutoHyphens/>
      <w:spacing w:after="280"/>
    </w:pPr>
    <w:rPr>
      <w:rFonts w:ascii="Times New Roman" w:hAnsi="Times New Roman"/>
      <w:color w:val="00000A"/>
    </w:rPr>
  </w:style>
  <w:style w:type="paragraph" w:customStyle="1" w:styleId="estilo22">
    <w:name w:val="estilo22"/>
    <w:basedOn w:val="Normal"/>
    <w:rsid w:val="00AC13AF"/>
    <w:pPr>
      <w:suppressAutoHyphens/>
      <w:spacing w:after="280"/>
    </w:pPr>
    <w:rPr>
      <w:rFonts w:ascii="Times New Roman" w:hAnsi="Times New Roman"/>
      <w:color w:val="00000A"/>
    </w:rPr>
  </w:style>
  <w:style w:type="paragraph" w:customStyle="1" w:styleId="estilo23">
    <w:name w:val="estilo23"/>
    <w:basedOn w:val="Normal"/>
    <w:rsid w:val="00AC13AF"/>
    <w:pPr>
      <w:suppressAutoHyphens/>
      <w:spacing w:after="280"/>
    </w:pPr>
    <w:rPr>
      <w:rFonts w:ascii="Times New Roman" w:hAnsi="Times New Roman"/>
      <w:color w:val="00000A"/>
    </w:rPr>
  </w:style>
  <w:style w:type="paragraph" w:customStyle="1" w:styleId="Sombreadomedio1-nfasis11">
    <w:name w:val="Sombreado medio 1 - Énfasis 11"/>
    <w:uiPriority w:val="1"/>
    <w:qFormat/>
    <w:rsid w:val="00AC13AF"/>
    <w:pPr>
      <w:suppressAutoHyphens/>
    </w:pPr>
    <w:rPr>
      <w:rFonts w:ascii="Calibri" w:eastAsia="Calibri" w:hAnsi="Calibri"/>
      <w:color w:val="00000A"/>
      <w:sz w:val="22"/>
      <w:szCs w:val="22"/>
      <w:lang w:eastAsia="en-US"/>
    </w:rPr>
  </w:style>
  <w:style w:type="paragraph" w:customStyle="1" w:styleId="Notaalpie">
    <w:name w:val="Nota al pie"/>
    <w:basedOn w:val="Normal"/>
    <w:rsid w:val="00AC13AF"/>
    <w:pPr>
      <w:suppressAutoHyphens/>
    </w:pPr>
  </w:style>
  <w:style w:type="paragraph" w:styleId="Textonotaalfinal">
    <w:name w:val="endnote text"/>
    <w:basedOn w:val="Normal"/>
    <w:link w:val="TextonotaalfinalCar"/>
    <w:uiPriority w:val="99"/>
    <w:semiHidden/>
    <w:unhideWhenUsed/>
    <w:rsid w:val="00AC13AF"/>
    <w:pPr>
      <w:suppressAutoHyphens/>
    </w:pPr>
    <w:rPr>
      <w:sz w:val="20"/>
    </w:rPr>
  </w:style>
  <w:style w:type="character" w:customStyle="1" w:styleId="TextonotaalfinalCar1">
    <w:name w:val="Texto nota al final Car1"/>
    <w:basedOn w:val="Fuentedeprrafopredeter"/>
    <w:uiPriority w:val="99"/>
    <w:semiHidden/>
    <w:rsid w:val="00AC13AF"/>
    <w:rPr>
      <w:rFonts w:ascii="Arial" w:hAnsi="Arial"/>
      <w:color w:val="000000"/>
    </w:rPr>
  </w:style>
  <w:style w:type="paragraph" w:customStyle="1" w:styleId="subtit">
    <w:name w:val="subtit"/>
    <w:basedOn w:val="Normal"/>
    <w:rsid w:val="00AC13AF"/>
    <w:pPr>
      <w:suppressAutoHyphens/>
      <w:spacing w:after="280"/>
    </w:pPr>
    <w:rPr>
      <w:rFonts w:ascii="Times New Roman" w:hAnsi="Times New Roman"/>
      <w:color w:val="00000A"/>
    </w:rPr>
  </w:style>
  <w:style w:type="paragraph" w:customStyle="1" w:styleId="parrafo">
    <w:name w:val="parrafo"/>
    <w:basedOn w:val="Normal"/>
    <w:rsid w:val="00AC13AF"/>
    <w:pPr>
      <w:suppressAutoHyphens/>
      <w:spacing w:after="280"/>
    </w:pPr>
    <w:rPr>
      <w:rFonts w:ascii="Times New Roman" w:hAnsi="Times New Roman"/>
      <w:color w:val="00000A"/>
    </w:rPr>
  </w:style>
  <w:style w:type="paragraph" w:styleId="Cita">
    <w:name w:val="Quote"/>
    <w:basedOn w:val="Normal"/>
    <w:link w:val="CitaCar"/>
    <w:rsid w:val="00AC13AF"/>
    <w:pPr>
      <w:suppressAutoHyphens/>
    </w:pPr>
  </w:style>
  <w:style w:type="character" w:customStyle="1" w:styleId="CitaCar">
    <w:name w:val="Cita Car"/>
    <w:basedOn w:val="Fuentedeprrafopredeter"/>
    <w:link w:val="Cita"/>
    <w:rsid w:val="00AC13AF"/>
    <w:rPr>
      <w:rFonts w:ascii="Arial" w:hAnsi="Arial"/>
      <w:color w:val="000000"/>
      <w:sz w:val="24"/>
    </w:rPr>
  </w:style>
  <w:style w:type="paragraph" w:customStyle="1" w:styleId="Ttulo10">
    <w:name w:val="Título1"/>
    <w:basedOn w:val="Encabezado"/>
    <w:rsid w:val="00AC13AF"/>
    <w:pPr>
      <w:keepNext/>
      <w:tabs>
        <w:tab w:val="clear" w:pos="4252"/>
        <w:tab w:val="clear" w:pos="8504"/>
      </w:tabs>
      <w:suppressAutoHyphens/>
      <w:spacing w:before="240" w:after="120"/>
    </w:pPr>
    <w:rPr>
      <w:rFonts w:ascii="Liberation Sans" w:eastAsia="Droid Sans Fallback" w:hAnsi="Liberation Sans" w:cs="FreeSans"/>
      <w:sz w:val="28"/>
      <w:szCs w:val="28"/>
    </w:rPr>
  </w:style>
  <w:style w:type="paragraph" w:styleId="Subttulo">
    <w:name w:val="Subtitle"/>
    <w:basedOn w:val="Normal"/>
    <w:next w:val="Normal"/>
    <w:link w:val="SubttuloCar"/>
    <w:uiPriority w:val="11"/>
    <w:qFormat/>
    <w:pPr>
      <w:keepNext/>
      <w:tabs>
        <w:tab w:val="center" w:pos="4252"/>
        <w:tab w:val="right" w:pos="8504"/>
      </w:tabs>
      <w:spacing w:before="240" w:after="120"/>
    </w:pPr>
    <w:rPr>
      <w:rFonts w:ascii="Liberation Sans" w:eastAsia="Liberation Sans" w:hAnsi="Liberation Sans" w:cs="Liberation Sans"/>
      <w:sz w:val="28"/>
      <w:szCs w:val="28"/>
    </w:rPr>
  </w:style>
  <w:style w:type="character" w:customStyle="1" w:styleId="SubttuloCar">
    <w:name w:val="Subtítulo Car"/>
    <w:basedOn w:val="Fuentedeprrafopredeter"/>
    <w:link w:val="Subttulo"/>
    <w:rsid w:val="00AC13AF"/>
    <w:rPr>
      <w:rFonts w:ascii="Liberation Sans" w:eastAsia="Droid Sans Fallback" w:hAnsi="Liberation Sans" w:cs="FreeSans"/>
      <w:color w:val="000000"/>
      <w:sz w:val="28"/>
      <w:szCs w:val="28"/>
    </w:rPr>
  </w:style>
  <w:style w:type="character" w:customStyle="1" w:styleId="CharAttribute15">
    <w:name w:val="CharAttribute15"/>
    <w:rsid w:val="00AC13AF"/>
    <w:rPr>
      <w:rFonts w:ascii="Arial" w:eastAsia="Times New Roman"/>
      <w:sz w:val="24"/>
    </w:rPr>
  </w:style>
  <w:style w:type="paragraph" w:customStyle="1" w:styleId="ParaAttribute16">
    <w:name w:val="ParaAttribute16"/>
    <w:rsid w:val="00AC13AF"/>
    <w:pPr>
      <w:ind w:hanging="705"/>
      <w:jc w:val="both"/>
    </w:pPr>
    <w:rPr>
      <w:rFonts w:eastAsia="¹Å"/>
    </w:rPr>
  </w:style>
  <w:style w:type="paragraph" w:customStyle="1" w:styleId="Prrafodelista2">
    <w:name w:val="Párrafo de lista2"/>
    <w:basedOn w:val="Normal"/>
    <w:uiPriority w:val="99"/>
    <w:rsid w:val="00AC13AF"/>
    <w:pPr>
      <w:ind w:left="708"/>
      <w:jc w:val="both"/>
    </w:pPr>
  </w:style>
  <w:style w:type="paragraph" w:customStyle="1" w:styleId="subt2copiar">
    <w:name w:val="subt2copiar"/>
    <w:basedOn w:val="Normal"/>
    <w:rsid w:val="00AC13AF"/>
    <w:pPr>
      <w:spacing w:before="100" w:beforeAutospacing="1" w:after="100" w:afterAutospacing="1"/>
    </w:pPr>
    <w:rPr>
      <w:rFonts w:ascii="Times New Roman" w:hAnsi="Times New Roman"/>
      <w:color w:val="auto"/>
      <w:lang w:val="en-US" w:eastAsia="en-US"/>
    </w:rPr>
  </w:style>
  <w:style w:type="paragraph" w:customStyle="1" w:styleId="subt2">
    <w:name w:val="subt2"/>
    <w:basedOn w:val="Normal"/>
    <w:rsid w:val="00AC13AF"/>
    <w:pPr>
      <w:spacing w:before="100" w:beforeAutospacing="1" w:after="100" w:afterAutospacing="1"/>
    </w:pPr>
    <w:rPr>
      <w:rFonts w:ascii="Times New Roman" w:hAnsi="Times New Roman"/>
      <w:color w:val="auto"/>
      <w:lang w:val="en-US" w:eastAsia="en-US"/>
    </w:rPr>
  </w:style>
  <w:style w:type="paragraph" w:customStyle="1" w:styleId="Default">
    <w:name w:val="Default"/>
    <w:rsid w:val="00AC13AF"/>
    <w:pPr>
      <w:autoSpaceDE w:val="0"/>
      <w:autoSpaceDN w:val="0"/>
      <w:adjustRightInd w:val="0"/>
    </w:pPr>
    <w:rPr>
      <w:color w:val="000000"/>
    </w:r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99"/>
    <w:qFormat/>
    <w:locked/>
    <w:rsid w:val="00AC13AF"/>
    <w:rPr>
      <w:rFonts w:ascii="Arial" w:hAnsi="Arial"/>
      <w:color w:val="000000"/>
      <w:sz w:val="24"/>
    </w:rPr>
  </w:style>
  <w:style w:type="character" w:customStyle="1" w:styleId="Ttulo1Car2">
    <w:name w:val="Título 1 Car2"/>
    <w:rsid w:val="00AC13AF"/>
    <w:rPr>
      <w:sz w:val="24"/>
      <w:lang w:val="es-MX" w:eastAsia="es-ES"/>
    </w:rPr>
  </w:style>
  <w:style w:type="character" w:customStyle="1" w:styleId="NormalWebCar">
    <w:name w:val="Normal (Web) Car"/>
    <w:link w:val="NormalWeb"/>
    <w:uiPriority w:val="99"/>
    <w:locked/>
    <w:rsid w:val="00AC13AF"/>
    <w:rPr>
      <w:sz w:val="24"/>
      <w:szCs w:val="24"/>
      <w:lang w:val="es-CO" w:eastAsia="es-CO"/>
    </w:rPr>
  </w:style>
  <w:style w:type="character" w:styleId="nfasis">
    <w:name w:val="Emphasis"/>
    <w:uiPriority w:val="20"/>
    <w:qFormat/>
    <w:locked/>
    <w:rsid w:val="00AC13AF"/>
    <w:rPr>
      <w:i/>
      <w:iCs/>
    </w:rPr>
  </w:style>
  <w:style w:type="character" w:styleId="Hipervnculovisitado">
    <w:name w:val="FollowedHyperlink"/>
    <w:uiPriority w:val="99"/>
    <w:semiHidden/>
    <w:unhideWhenUsed/>
    <w:rsid w:val="00AC13AF"/>
    <w:rPr>
      <w:color w:val="954F72"/>
      <w:u w:val="single"/>
    </w:rPr>
  </w:style>
  <w:style w:type="paragraph" w:styleId="Asuntodelcomentario">
    <w:name w:val="annotation subject"/>
    <w:basedOn w:val="Textocomentario"/>
    <w:next w:val="Textocomentario"/>
    <w:link w:val="AsuntodelcomentarioCar"/>
    <w:uiPriority w:val="99"/>
    <w:semiHidden/>
    <w:unhideWhenUsed/>
    <w:rsid w:val="00AC13AF"/>
    <w:pPr>
      <w:suppressAutoHyphens/>
    </w:pPr>
    <w:rPr>
      <w:b/>
      <w:bCs/>
    </w:rPr>
  </w:style>
  <w:style w:type="character" w:customStyle="1" w:styleId="AsuntodelcomentarioCar">
    <w:name w:val="Asunto del comentario Car"/>
    <w:basedOn w:val="TextocomentarioCar"/>
    <w:link w:val="Asuntodelcomentario"/>
    <w:uiPriority w:val="99"/>
    <w:semiHidden/>
    <w:rsid w:val="00AC13AF"/>
    <w:rPr>
      <w:rFonts w:ascii="Arial" w:hAnsi="Arial" w:cs="Times New Roman"/>
      <w:b/>
      <w:bCs/>
      <w:color w:val="000000"/>
      <w:sz w:val="20"/>
      <w:szCs w:val="20"/>
    </w:rPr>
  </w:style>
  <w:style w:type="character" w:customStyle="1" w:styleId="Ttulo2Car1">
    <w:name w:val="Título 2 Car1"/>
    <w:rsid w:val="00AC13AF"/>
    <w:rPr>
      <w:rFonts w:ascii="Calibri Light" w:eastAsia="Times New Roman" w:hAnsi="Calibri Light" w:cs="Times New Roman"/>
      <w:b/>
      <w:bCs/>
      <w:i/>
      <w:iCs/>
      <w:color w:val="000000"/>
      <w:sz w:val="28"/>
      <w:szCs w:val="28"/>
      <w:lang w:val="es-ES" w:eastAsia="es-ES"/>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character" w:customStyle="1" w:styleId="UnresolvedMention">
    <w:name w:val="Unresolved Mention"/>
    <w:basedOn w:val="Fuentedeprrafopredeter"/>
    <w:uiPriority w:val="99"/>
    <w:semiHidden/>
    <w:unhideWhenUsed/>
    <w:rsid w:val="002323FB"/>
    <w:rPr>
      <w:color w:val="605E5C"/>
      <w:shd w:val="clear" w:color="auto" w:fill="E1DFDD"/>
    </w:rPr>
  </w:style>
  <w:style w:type="table" w:customStyle="1" w:styleId="a3">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alcaldiabogota.gov.co/sisjur/normas/Norma1.jsp?dt=S&amp;i=523"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lcaldiabogota.gov.co/sisjur/normas/Norma1.jsp?i=4205"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alcaldiabogota.gov.co/sisjur/normas/Norma1.jsp?i=4208" TargetMode="External"/><Relationship Id="rId4" Type="http://schemas.openxmlformats.org/officeDocument/2006/relationships/settings" Target="settings.xml"/><Relationship Id="rId9" Type="http://schemas.openxmlformats.org/officeDocument/2006/relationships/hyperlink" Target="https://www.alcaldiabogota.gov.co/sisjur/normas/Norma1.jsp?i=4208"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www.medicinalegal.gov.co/cifras-estadisticas/boletines-estadisticos-nna" TargetMode="External"/><Relationship Id="rId1" Type="http://schemas.openxmlformats.org/officeDocument/2006/relationships/hyperlink" Target="https://www.policia.gov.co/estadistica-delictiva?page=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GRIRQt/NmT5JcGcLBlEHLTK38w==">CgMxLjAyDmlkLjVuN2N1MDluN3BtMg9pZC5uaGI0YnM5ZDl4ZWcyD2lkLjJza2V0aHY1MGRkNTIPaWQuaG1rdmdoNnk0bzZqMg5oLjQ4Z25ncDM5ZGVkajgAciExRXI3OHExSjBCa09pSS1aMGpvdU14MVUxN3pFVnNzUmo=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5430</Words>
  <Characters>29870</Characters>
  <Application>Microsoft Office Word</Application>
  <DocSecurity>0</DocSecurity>
  <Lines>248</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dcterms:created xsi:type="dcterms:W3CDTF">2025-05-03T16:26:00Z</dcterms:created>
  <dcterms:modified xsi:type="dcterms:W3CDTF">2025-05-03T16:26:00Z</dcterms:modified>
</cp:coreProperties>
</file>